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6"/>
          <w:szCs w:val="36"/>
        </w:rPr>
      </w:pPr>
      <w:bookmarkStart w:id="0" w:name="_Toc418673918"/>
    </w:p>
    <w:p>
      <w:pPr>
        <w:jc w:val="center"/>
        <w:rPr>
          <w:rFonts w:hint="eastAsia" w:ascii="华文中宋" w:hAnsi="华文中宋" w:eastAsia="华文中宋"/>
          <w:b/>
          <w:sz w:val="36"/>
          <w:szCs w:val="36"/>
        </w:rPr>
      </w:pPr>
      <w:bookmarkStart w:id="2" w:name="_GoBack"/>
      <w:r>
        <w:rPr>
          <w:rFonts w:hint="eastAsia" w:ascii="华文中宋" w:hAnsi="华文中宋" w:eastAsia="华文中宋"/>
          <w:b/>
          <w:sz w:val="36"/>
          <w:szCs w:val="36"/>
        </w:rPr>
        <w:t>证券经营机构</w:t>
      </w:r>
      <w:r>
        <w:rPr>
          <w:rFonts w:ascii="华文中宋" w:hAnsi="华文中宋" w:eastAsia="华文中宋"/>
          <w:b/>
          <w:sz w:val="36"/>
          <w:szCs w:val="36"/>
        </w:rPr>
        <w:t>投资者适当性</w:t>
      </w:r>
      <w:bookmarkEnd w:id="0"/>
      <w:r>
        <w:rPr>
          <w:rFonts w:hint="eastAsia" w:ascii="华文中宋" w:hAnsi="华文中宋" w:eastAsia="华文中宋"/>
          <w:b/>
          <w:sz w:val="36"/>
          <w:szCs w:val="36"/>
        </w:rPr>
        <w:t>管理实施指引（试行）</w:t>
      </w:r>
    </w:p>
    <w:bookmarkEnd w:id="2"/>
    <w:p>
      <w:pPr>
        <w:ind w:firstLine="643" w:firstLineChars="200"/>
        <w:rPr>
          <w:rFonts w:hint="eastAsia" w:ascii="仿宋_GB2312" w:hAnsi="宋体" w:eastAsia="仿宋_GB2312"/>
          <w:b/>
          <w:bCs/>
          <w:sz w:val="32"/>
          <w:szCs w:val="32"/>
        </w:rPr>
      </w:pPr>
    </w:p>
    <w:p>
      <w:pPr>
        <w:ind w:firstLine="643" w:firstLineChars="200"/>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xml:space="preserve"> 为督促、引导证券行业有效落实适当性管理要求，维护投资者合法权益，根据《证券法》、《证券公司监督管理条例》、《证券期货投资者适当性管理办法》（以下简称《办法》）及其他相关法律、行政法规和中国证监会规定，制定本指引。 </w:t>
      </w:r>
    </w:p>
    <w:p>
      <w:pPr>
        <w:ind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第二条 </w:t>
      </w:r>
      <w:r>
        <w:rPr>
          <w:rFonts w:hint="eastAsia" w:ascii="仿宋_GB2312" w:hAnsi="宋体" w:eastAsia="仿宋_GB2312"/>
          <w:sz w:val="32"/>
          <w:szCs w:val="32"/>
        </w:rPr>
        <w:t>证券公司及其子公司、证券投资咨询机构（以下统称“证券经营机构”）向投资者销售金融产品，或者以投资者买入金融产品为目的提供证券经纪、</w:t>
      </w:r>
      <w:r>
        <w:rPr>
          <w:rFonts w:hint="eastAsia" w:ascii="仿宋_GB2312" w:eastAsia="仿宋_GB2312"/>
          <w:color w:val="000000"/>
          <w:sz w:val="32"/>
          <w:szCs w:val="32"/>
        </w:rPr>
        <w:t>投资顾问、融资融券、资产管理、柜台交易等金融服务</w:t>
      </w:r>
      <w:r>
        <w:rPr>
          <w:rFonts w:hint="eastAsia" w:ascii="仿宋_GB2312" w:hAnsi="宋体" w:eastAsia="仿宋_GB2312"/>
          <w:sz w:val="32"/>
          <w:szCs w:val="32"/>
        </w:rPr>
        <w:t>，适用本指引。</w:t>
      </w:r>
    </w:p>
    <w:p>
      <w:pPr>
        <w:ind w:firstLine="643" w:firstLineChars="200"/>
        <w:rPr>
          <w:rFonts w:hint="eastAsia" w:ascii="仿宋_GB2312" w:hAnsi="宋体" w:eastAsia="仿宋_GB2312"/>
          <w:color w:val="000000"/>
          <w:sz w:val="32"/>
          <w:szCs w:val="32"/>
        </w:rPr>
      </w:pPr>
      <w:r>
        <w:rPr>
          <w:rFonts w:hint="eastAsia" w:ascii="仿宋_GB2312" w:hAnsi="宋体" w:eastAsia="仿宋_GB2312"/>
          <w:b/>
          <w:sz w:val="32"/>
          <w:szCs w:val="32"/>
        </w:rPr>
        <w:t>第三条</w:t>
      </w:r>
      <w:r>
        <w:rPr>
          <w:rFonts w:hint="eastAsia" w:ascii="仿宋_GB2312" w:hAnsi="宋体" w:eastAsia="仿宋_GB2312"/>
          <w:sz w:val="32"/>
          <w:szCs w:val="32"/>
        </w:rPr>
        <w:t xml:space="preserve"> </w:t>
      </w:r>
      <w:r>
        <w:rPr>
          <w:rFonts w:hint="eastAsia" w:ascii="仿宋_GB2312" w:hAnsi="宋体" w:eastAsia="仿宋_GB2312"/>
          <w:color w:val="000000"/>
          <w:sz w:val="32"/>
          <w:szCs w:val="32"/>
        </w:rPr>
        <w:t>证券经营机构可以通过由投资者填写《投资者基本信息表》等多种方式了解《办法》第六条规定的投资者基本信息。</w:t>
      </w:r>
    </w:p>
    <w:p>
      <w:pPr>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第四条 </w:t>
      </w:r>
      <w:r>
        <w:rPr>
          <w:rFonts w:hint="eastAsia" w:ascii="仿宋_GB2312" w:hAnsi="宋体" w:eastAsia="仿宋_GB2312"/>
          <w:sz w:val="32"/>
          <w:szCs w:val="32"/>
        </w:rPr>
        <w:t>证券经营机构</w:t>
      </w:r>
      <w:r>
        <w:rPr>
          <w:rFonts w:hint="eastAsia" w:ascii="仿宋_GB2312" w:hAnsi="宋体" w:eastAsia="仿宋_GB2312"/>
          <w:kern w:val="0"/>
          <w:sz w:val="32"/>
          <w:szCs w:val="32"/>
        </w:rPr>
        <w:t>可以要求</w:t>
      </w:r>
      <w:r>
        <w:rPr>
          <w:rFonts w:hint="eastAsia" w:ascii="仿宋_GB2312" w:hAnsi="宋体" w:eastAsia="仿宋_GB2312"/>
          <w:sz w:val="32"/>
          <w:szCs w:val="32"/>
        </w:rPr>
        <w:t>符合《办法》第八条第（一）、（二）、（三）项条件的投资者提供营业执照、经营证券、基金、期货业务的许可证、经营其他金融业务的许可证、</w:t>
      </w:r>
      <w:r>
        <w:rPr>
          <w:rFonts w:hint="eastAsia" w:ascii="仿宋_GB2312" w:hAnsi="宋体" w:eastAsia="仿宋_GB2312"/>
          <w:color w:val="000000"/>
          <w:sz w:val="32"/>
          <w:szCs w:val="32"/>
        </w:rPr>
        <w:t>基金会法人登记证明、QFII、RQFII、私募基金管理人登记材料</w:t>
      </w:r>
      <w:r>
        <w:rPr>
          <w:rFonts w:hint="eastAsia" w:ascii="仿宋_GB2312" w:hAnsi="宋体" w:eastAsia="仿宋_GB2312"/>
          <w:sz w:val="32"/>
          <w:szCs w:val="32"/>
        </w:rPr>
        <w:t>等身份证明材料，</w:t>
      </w:r>
      <w:r>
        <w:rPr>
          <w:rFonts w:hint="eastAsia" w:ascii="仿宋_GB2312" w:hAnsi="宋体" w:eastAsia="仿宋_GB2312"/>
          <w:color w:val="000000"/>
          <w:sz w:val="32"/>
          <w:szCs w:val="32"/>
        </w:rPr>
        <w:t>理财产品还需提供产品成立或备案文件等证明材料。</w:t>
      </w:r>
      <w:r>
        <w:rPr>
          <w:rFonts w:hint="eastAsia" w:ascii="仿宋_GB2312" w:hAnsi="宋体" w:eastAsia="仿宋_GB2312"/>
          <w:sz w:val="32"/>
          <w:szCs w:val="32"/>
        </w:rPr>
        <w:t>符合前述条件的投资者经核验属实的，证券经营机构可将其直接认定为专业投资者，并将认定结果书面告知投资者。</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证券经营机构可以要求符合《办法》第八条第（四）、（五）项条件的投资者提供下列材料：</w:t>
      </w:r>
    </w:p>
    <w:p>
      <w:pPr>
        <w:pStyle w:val="33"/>
        <w:spacing w:before="0" w:beforeAutospacing="0" w:after="0" w:afterAutospacing="0"/>
        <w:ind w:firstLine="640" w:firstLineChars="200"/>
        <w:jc w:val="both"/>
        <w:rPr>
          <w:rFonts w:ascii="仿宋_GB2312" w:eastAsia="仿宋_GB2312"/>
          <w:color w:val="000000"/>
          <w:sz w:val="32"/>
          <w:szCs w:val="32"/>
        </w:rPr>
      </w:pPr>
      <w:r>
        <w:rPr>
          <w:rFonts w:hint="eastAsia" w:ascii="仿宋_GB2312" w:eastAsia="仿宋_GB2312"/>
          <w:sz w:val="32"/>
          <w:szCs w:val="32"/>
        </w:rPr>
        <w:t>（一）</w:t>
      </w:r>
      <w:r>
        <w:rPr>
          <w:rFonts w:hint="eastAsia" w:ascii="仿宋_GB2312" w:eastAsia="仿宋_GB2312"/>
          <w:color w:val="000000"/>
          <w:sz w:val="32"/>
          <w:szCs w:val="32"/>
        </w:rPr>
        <w:t>法人或其他组织投资者提供的最近一年财务报表、金融资产证明文件、两年以上投资经历的证明材料等；</w:t>
      </w:r>
    </w:p>
    <w:p>
      <w:pPr>
        <w:pStyle w:val="33"/>
        <w:spacing w:before="0" w:beforeAutospacing="0" w:after="0" w:afterAutospacing="0"/>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（二）自然人投资者提供的本人金融资产证明文件或近三年收入证明，投资经历或工作证明或职业资格证书等。</w:t>
      </w:r>
    </w:p>
    <w:p>
      <w:pPr>
        <w:ind w:firstLine="640" w:firstLineChars="200"/>
        <w:rPr>
          <w:rFonts w:ascii="仿宋_GB2312" w:hAnsi="宋体" w:eastAsia="仿宋_GB2312"/>
          <w:sz w:val="32"/>
          <w:szCs w:val="32"/>
        </w:rPr>
      </w:pPr>
      <w:r>
        <w:rPr>
          <w:rFonts w:hint="eastAsia" w:ascii="仿宋_GB2312" w:hAnsi="宋体" w:eastAsia="仿宋_GB2312"/>
          <w:sz w:val="32"/>
          <w:szCs w:val="32"/>
        </w:rPr>
        <w:t>符合前述条件的投资者经核验属实的，证券经营机构可将其直接认定为专业投资者，并将认定结果书面告知投资者。</w:t>
      </w:r>
    </w:p>
    <w:p>
      <w:pPr>
        <w:ind w:firstLine="643" w:firstLineChars="200"/>
        <w:rPr>
          <w:rFonts w:ascii="仿宋_GB2312" w:eastAsia="仿宋_GB2312"/>
          <w:color w:val="000000"/>
          <w:sz w:val="32"/>
          <w:szCs w:val="32"/>
        </w:rPr>
      </w:pPr>
      <w:r>
        <w:rPr>
          <w:rFonts w:hint="eastAsia" w:ascii="仿宋_GB2312" w:eastAsia="仿宋_GB2312"/>
          <w:b/>
          <w:sz w:val="32"/>
          <w:szCs w:val="32"/>
        </w:rPr>
        <w:t xml:space="preserve">第六条 </w:t>
      </w:r>
      <w:r>
        <w:rPr>
          <w:rFonts w:hint="eastAsia" w:ascii="仿宋_GB2312" w:eastAsia="仿宋_GB2312"/>
          <w:sz w:val="32"/>
          <w:szCs w:val="32"/>
        </w:rPr>
        <w:t>普通投资者申请转化成为专业投资者的，</w:t>
      </w:r>
      <w:r>
        <w:rPr>
          <w:rFonts w:hint="eastAsia" w:ascii="仿宋_GB2312" w:hAnsi="宋体" w:eastAsia="仿宋_GB2312"/>
          <w:sz w:val="32"/>
          <w:szCs w:val="32"/>
        </w:rPr>
        <w:t>证券经营机构可以要求其提供下列材料：</w:t>
      </w:r>
    </w:p>
    <w:p>
      <w:pPr>
        <w:pStyle w:val="33"/>
        <w:spacing w:before="0" w:beforeAutospacing="0" w:after="0" w:afterAutospacing="0"/>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（一）专业投资者申请书，确认自主承担产生的风险和后果；</w:t>
      </w:r>
    </w:p>
    <w:p>
      <w:pPr>
        <w:pStyle w:val="33"/>
        <w:spacing w:before="0" w:beforeAutospacing="0" w:after="0" w:afterAutospacing="0"/>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（二）法人或其他组织投资者提供的最近一年财务报表、金融资产证明文件、一年以上投资经历等证明材料；</w:t>
      </w:r>
    </w:p>
    <w:p>
      <w:pPr>
        <w:pStyle w:val="33"/>
        <w:spacing w:before="0" w:beforeAutospacing="0" w:after="0" w:afterAutospacing="0"/>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（三）自然人投资者提供的金融资产证明文件或者近三年收入证明或一年以上投资经历或工作经历等证明材料。</w:t>
      </w:r>
    </w:p>
    <w:p>
      <w:pPr>
        <w:pStyle w:val="33"/>
        <w:spacing w:before="0" w:beforeAutospacing="0" w:after="0" w:afterAutospacing="0"/>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证券经营机构完成申请材料核验后还应该按照《办法》第十二条规定，对投资者进行审慎评估。符合普通投资者转为专业投资者的，应当说明对不同类别投资者履行适当性义务的差别，警示可能承担的投资风险，书面告知其审查结果和理由；不符合转化为专业投资者的，也应当书面告知其审查结果和理由。</w:t>
      </w:r>
    </w:p>
    <w:p>
      <w:pPr>
        <w:rPr>
          <w:rFonts w:ascii="仿宋_GB2312" w:hAnsi="宋体" w:eastAsia="仿宋_GB2312"/>
          <w:color w:val="000000"/>
          <w:sz w:val="32"/>
          <w:szCs w:val="32"/>
        </w:rPr>
      </w:pPr>
      <w:r>
        <w:rPr>
          <w:rFonts w:hint="eastAsia" w:ascii="仿宋_GB2312" w:hAnsi="宋体" w:eastAsia="仿宋_GB2312"/>
          <w:color w:val="000000"/>
          <w:sz w:val="32"/>
          <w:szCs w:val="32"/>
        </w:rPr>
        <w:t xml:space="preserve">    证券经营机构应当按照《办法》第二十五条的规定对审查结果告知和警示进行全过程录音或者录像，或者以符合法律、行政法规要求的电子方式进行确认。</w:t>
      </w:r>
    </w:p>
    <w:p>
      <w:pPr>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第七条 </w:t>
      </w:r>
      <w:r>
        <w:rPr>
          <w:rFonts w:hint="eastAsia" w:ascii="仿宋_GB2312" w:hAnsi="宋体" w:eastAsia="仿宋_GB2312"/>
          <w:sz w:val="32"/>
          <w:szCs w:val="32"/>
        </w:rPr>
        <w:t>符合《办法》第八条第（四）、（五）项规定的专业投资者申请转化普通投资者的，证券经营机构应当及时将其变更为普通投资者，按照规定对投资者风险承受能力进行综合评估，确定其风险承受能力等级，履行相应适当性义务。</w:t>
      </w:r>
    </w:p>
    <w:p>
      <w:pPr>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 xml:space="preserve"> 证券经营机构应当根据普通投资者信息，通过投资者填写《投资者风险承受能力评估问卷》等方法对其风险承受能力进行综合评估。《投资者风险承受能力评估问卷》的设计应当科学、合理、全面、通俗易懂。</w:t>
      </w:r>
    </w:p>
    <w:p>
      <w:pPr>
        <w:ind w:firstLine="643" w:firstLineChars="200"/>
        <w:rPr>
          <w:rFonts w:hint="eastAsia"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证券经营机构可以将普通投资者按其风险承受能力等级由低到高至少划分为五级，分别为：C1（含</w:t>
      </w:r>
      <w:r>
        <w:rPr>
          <w:rFonts w:hint="eastAsia" w:ascii="仿宋_GB2312" w:hAnsi="仿宋" w:eastAsia="仿宋_GB2312"/>
          <w:sz w:val="32"/>
          <w:szCs w:val="32"/>
        </w:rPr>
        <w:t>风险承受能力最低类别的投资者</w:t>
      </w:r>
      <w:r>
        <w:rPr>
          <w:rFonts w:hint="eastAsia" w:ascii="仿宋_GB2312" w:hAnsi="宋体" w:eastAsia="仿宋_GB2312"/>
          <w:sz w:val="32"/>
          <w:szCs w:val="32"/>
        </w:rPr>
        <w:t>）、C2、C3、C4、C5。具体分类标准、方法及其变更应当告知投资者。</w:t>
      </w:r>
    </w:p>
    <w:p>
      <w:pPr>
        <w:spacing w:line="300" w:lineRule="auto"/>
        <w:ind w:firstLine="640" w:firstLineChars="200"/>
        <w:rPr>
          <w:rFonts w:hint="eastAsia" w:ascii="仿宋_GB2312" w:hAnsi="宋体" w:eastAsia="仿宋_GB2312"/>
          <w:sz w:val="32"/>
          <w:szCs w:val="32"/>
        </w:rPr>
      </w:pPr>
      <w:r>
        <w:rPr>
          <w:rFonts w:ascii="仿宋_GB2312" w:hAnsi="宋体" w:eastAsia="仿宋_GB2312"/>
          <w:sz w:val="32"/>
          <w:szCs w:val="32"/>
        </w:rPr>
        <w:t>证券</w:t>
      </w:r>
      <w:r>
        <w:rPr>
          <w:rFonts w:hint="eastAsia" w:ascii="仿宋_GB2312" w:hAnsi="宋体" w:eastAsia="仿宋_GB2312"/>
          <w:sz w:val="32"/>
          <w:szCs w:val="32"/>
        </w:rPr>
        <w:t>经营机构</w:t>
      </w:r>
      <w:r>
        <w:rPr>
          <w:rFonts w:ascii="仿宋_GB2312" w:hAnsi="宋体" w:eastAsia="仿宋_GB2312"/>
          <w:sz w:val="32"/>
          <w:szCs w:val="32"/>
        </w:rPr>
        <w:t>应当与</w:t>
      </w:r>
      <w:r>
        <w:rPr>
          <w:rFonts w:hint="eastAsia" w:ascii="仿宋_GB2312" w:hAnsi="宋体" w:eastAsia="仿宋_GB2312"/>
          <w:sz w:val="32"/>
          <w:szCs w:val="32"/>
        </w:rPr>
        <w:t>普通投资者</w:t>
      </w:r>
      <w:r>
        <w:rPr>
          <w:rFonts w:ascii="仿宋_GB2312" w:hAnsi="宋体" w:eastAsia="仿宋_GB2312"/>
          <w:sz w:val="32"/>
          <w:szCs w:val="32"/>
        </w:rPr>
        <w:t>确认</w:t>
      </w:r>
      <w:r>
        <w:rPr>
          <w:rFonts w:hint="eastAsia" w:ascii="仿宋_GB2312" w:hAnsi="宋体" w:eastAsia="仿宋_GB2312"/>
          <w:sz w:val="32"/>
          <w:szCs w:val="32"/>
        </w:rPr>
        <w:t>其风险承受能力等级结果</w:t>
      </w:r>
      <w:r>
        <w:rPr>
          <w:rFonts w:ascii="仿宋_GB2312" w:hAnsi="宋体" w:eastAsia="仿宋_GB2312"/>
          <w:sz w:val="32"/>
          <w:szCs w:val="32"/>
        </w:rPr>
        <w:t>，并以书面方式记载留存</w:t>
      </w:r>
      <w:r>
        <w:rPr>
          <w:rFonts w:hint="eastAsia" w:ascii="仿宋_GB2312" w:hAnsi="宋体" w:eastAsia="仿宋_GB2312"/>
          <w:sz w:val="32"/>
          <w:szCs w:val="32"/>
        </w:rPr>
        <w:t>。</w:t>
      </w:r>
    </w:p>
    <w:p>
      <w:pPr>
        <w:ind w:firstLine="643" w:firstLineChars="200"/>
        <w:rPr>
          <w:rFonts w:ascii="仿宋_GB2312" w:hAnsi="仿宋" w:eastAsia="仿宋_GB2312"/>
          <w:sz w:val="28"/>
          <w:szCs w:val="28"/>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《投资者基本信息表》、《投资者风险承受能力评估问卷》应当由投资者本人或合法授权人填写。证券经营机构及其工作人员</w:t>
      </w:r>
      <w:r>
        <w:rPr>
          <w:rFonts w:hint="eastAsia" w:ascii="仿宋_GB2312" w:hAnsi="仿宋" w:eastAsia="仿宋_GB2312"/>
          <w:sz w:val="32"/>
          <w:szCs w:val="32"/>
        </w:rPr>
        <w:t>不得以明示、暗示等方式诱导、误导、欺骗投资者，影响填写结果</w:t>
      </w:r>
      <w:r>
        <w:rPr>
          <w:rFonts w:hint="eastAsia" w:ascii="仿宋_GB2312" w:hAnsi="仿宋" w:eastAsia="仿宋_GB2312"/>
          <w:sz w:val="28"/>
          <w:szCs w:val="28"/>
        </w:rPr>
        <w:t>。</w:t>
      </w:r>
    </w:p>
    <w:p>
      <w:pPr>
        <w:ind w:firstLine="643" w:firstLineChars="200"/>
        <w:rPr>
          <w:rFonts w:ascii="仿宋_GB2312" w:hAnsi="宋体" w:eastAsia="仿宋_GB2312"/>
          <w:color w:val="000000"/>
          <w:sz w:val="32"/>
          <w:szCs w:val="32"/>
        </w:rPr>
      </w:pPr>
      <w:r>
        <w:rPr>
          <w:rFonts w:hint="eastAsia" w:ascii="仿宋_GB2312" w:hAnsi="宋体" w:eastAsia="仿宋_GB2312"/>
          <w:b/>
          <w:color w:val="000000"/>
          <w:sz w:val="32"/>
          <w:szCs w:val="32"/>
        </w:rPr>
        <w:t>第十一条</w:t>
      </w:r>
      <w:r>
        <w:rPr>
          <w:rFonts w:hint="eastAsia" w:ascii="仿宋_GB2312" w:hAnsi="宋体" w:eastAsia="仿宋_GB2312"/>
          <w:color w:val="000000"/>
          <w:sz w:val="32"/>
          <w:szCs w:val="32"/>
        </w:rPr>
        <w:t xml:space="preserve"> 证券经营机构应当及时将投资者信息录入投资者评估数据库，并根据更新的信息持续评估投资者风险承受能力。投资者评估数据库中应当至少包含下列信息：</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（一）《办法》第六条所规定的投资者信息及本指引规定的证明材料；</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（二）历次《投资者风险承受能力评估问卷》内容、评估时间、评估结果等；</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（三）投资者申请成为专业投资者或转化为普通投资者的申请书、审查结果告知和警示等；</w:t>
      </w:r>
    </w:p>
    <w:p>
      <w:pPr>
        <w:ind w:left="159" w:leftChars="76" w:firstLine="480" w:firstLineChars="150"/>
        <w:rPr>
          <w:rFonts w:hint="eastAsia" w:ascii="仿宋_GB2312" w:hAnsi="宋体" w:eastAsia="仿宋_GB2312"/>
          <w:color w:val="000000"/>
          <w:sz w:val="32"/>
          <w:szCs w:val="32"/>
        </w:rPr>
      </w:pPr>
      <w:r>
        <w:rPr>
          <w:rFonts w:hint="eastAsia" w:ascii="仿宋_GB2312" w:hAnsi="宋体" w:eastAsia="仿宋_GB2312"/>
          <w:color w:val="000000"/>
          <w:sz w:val="32"/>
          <w:szCs w:val="32"/>
        </w:rPr>
        <w:t>（四）投资者投资交易记录，包括但不限于产品或服务及其风险等级、交易权限、交易频率等；</w:t>
      </w:r>
    </w:p>
    <w:p>
      <w:pPr>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（五）投资者在证券经营机构的失信记录；</w:t>
      </w:r>
    </w:p>
    <w:p>
      <w:pPr>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（六）中国证监会、中国证券业协会（以下简称“协会”）及证券经营机构认为必要的其它信息。</w:t>
      </w:r>
    </w:p>
    <w:p>
      <w:pPr>
        <w:ind w:firstLine="800" w:firstLineChars="250"/>
        <w:rPr>
          <w:rFonts w:ascii="仿宋_GB2312" w:hAnsi="宋体" w:eastAsia="仿宋_GB2312"/>
          <w:color w:val="000000"/>
          <w:sz w:val="32"/>
          <w:szCs w:val="32"/>
        </w:rPr>
      </w:pPr>
      <w:r>
        <w:rPr>
          <w:rFonts w:hint="eastAsia" w:ascii="仿宋_GB2312" w:hAnsi="宋体" w:eastAsia="仿宋_GB2312"/>
          <w:color w:val="000000"/>
          <w:sz w:val="32"/>
          <w:szCs w:val="32"/>
        </w:rPr>
        <w:t>前述第（四）项不适用于证券投资咨询机构。</w:t>
      </w:r>
    </w:p>
    <w:p>
      <w:pPr>
        <w:ind w:firstLine="643" w:firstLineChars="200"/>
        <w:rPr>
          <w:rFonts w:ascii="仿宋_GB2312" w:hAnsi="仿宋" w:eastAsia="仿宋_GB2312"/>
          <w:sz w:val="32"/>
          <w:szCs w:val="32"/>
        </w:rPr>
      </w:pPr>
      <w:r>
        <w:rPr>
          <w:rFonts w:hint="eastAsia" w:ascii="仿宋_GB2312" w:hAnsi="宋体" w:eastAsia="仿宋_GB2312"/>
          <w:b/>
          <w:color w:val="000000"/>
          <w:sz w:val="32"/>
          <w:szCs w:val="32"/>
        </w:rPr>
        <w:t>第十</w:t>
      </w:r>
      <w:r>
        <w:rPr>
          <w:rFonts w:hint="eastAsia" w:ascii="仿宋_GB2312" w:hAnsi="宋体" w:eastAsia="仿宋_GB2312"/>
          <w:b/>
          <w:sz w:val="32"/>
          <w:szCs w:val="32"/>
        </w:rPr>
        <w:t>二</w:t>
      </w:r>
      <w:r>
        <w:rPr>
          <w:rFonts w:hint="eastAsia" w:ascii="仿宋_GB2312" w:hAnsi="宋体" w:eastAsia="仿宋_GB2312"/>
          <w:b/>
          <w:color w:val="000000"/>
          <w:sz w:val="32"/>
          <w:szCs w:val="32"/>
        </w:rPr>
        <w:t>条</w:t>
      </w:r>
      <w:r>
        <w:rPr>
          <w:rFonts w:hint="eastAsia" w:ascii="仿宋_GB2312" w:hAnsi="宋体" w:eastAsia="仿宋_GB2312"/>
          <w:b/>
          <w:sz w:val="32"/>
          <w:szCs w:val="32"/>
        </w:rPr>
        <w:t xml:space="preserve"> </w:t>
      </w:r>
      <w:r>
        <w:rPr>
          <w:rFonts w:hint="eastAsia" w:ascii="仿宋_GB2312" w:hAnsi="仿宋" w:eastAsia="仿宋_GB2312"/>
          <w:sz w:val="32"/>
          <w:szCs w:val="32"/>
        </w:rPr>
        <w:t>证券经营机构可以将C1中符合下列情形之一的自然人，作为风险承受能力最低类别的投资者：</w:t>
      </w:r>
    </w:p>
    <w:p>
      <w:pPr>
        <w:ind w:firstLine="640" w:firstLineChars="200"/>
        <w:rPr>
          <w:rFonts w:ascii="仿宋_GB2312" w:hAnsi="仿宋" w:eastAsia="仿宋_GB2312"/>
          <w:sz w:val="32"/>
          <w:szCs w:val="32"/>
        </w:rPr>
      </w:pPr>
      <w:r>
        <w:rPr>
          <w:rFonts w:hint="eastAsia" w:ascii="仿宋_GB2312" w:hAnsi="仿宋" w:eastAsia="仿宋_GB2312"/>
          <w:sz w:val="32"/>
          <w:szCs w:val="32"/>
        </w:rPr>
        <w:t>（一）不具有完全民事行为能力；</w:t>
      </w:r>
    </w:p>
    <w:p>
      <w:pPr>
        <w:ind w:firstLine="600"/>
        <w:rPr>
          <w:rFonts w:ascii="仿宋_GB2312" w:hAnsi="仿宋" w:eastAsia="仿宋_GB2312"/>
          <w:sz w:val="32"/>
          <w:szCs w:val="32"/>
        </w:rPr>
      </w:pPr>
      <w:r>
        <w:rPr>
          <w:rFonts w:hint="eastAsia" w:ascii="仿宋_GB2312" w:hAnsi="仿宋" w:eastAsia="仿宋_GB2312"/>
          <w:sz w:val="32"/>
          <w:szCs w:val="32"/>
        </w:rPr>
        <w:t>（二）没有风险容忍度或者不愿承受任何投资损失；</w:t>
      </w:r>
    </w:p>
    <w:p>
      <w:pPr>
        <w:ind w:firstLine="600"/>
        <w:rPr>
          <w:rFonts w:ascii="仿宋_GB2312" w:hAnsi="宋体" w:eastAsia="仿宋_GB2312"/>
          <w:sz w:val="32"/>
          <w:szCs w:val="32"/>
        </w:rPr>
      </w:pPr>
      <w:r>
        <w:rPr>
          <w:rFonts w:hint="eastAsia" w:ascii="仿宋_GB2312" w:hAnsi="仿宋" w:eastAsia="仿宋_GB2312"/>
          <w:sz w:val="32"/>
          <w:szCs w:val="32"/>
        </w:rPr>
        <w:t>（三）法律、行政法规规定的其他情形。</w:t>
      </w:r>
    </w:p>
    <w:p>
      <w:pPr>
        <w:adjustRightInd w:val="0"/>
        <w:snapToGrid w:val="0"/>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第十三条 </w:t>
      </w:r>
      <w:r>
        <w:rPr>
          <w:rFonts w:hint="eastAsia" w:ascii="仿宋_GB2312" w:hAnsi="宋体" w:eastAsia="仿宋_GB2312"/>
          <w:sz w:val="32"/>
          <w:szCs w:val="32"/>
        </w:rPr>
        <w:t>证券经营机构应当根据《办法》第十六、十七条规定的因素，通过科学、合理的方法对产品或服务进行综合评估，确定其风险等级。</w:t>
      </w:r>
    </w:p>
    <w:p>
      <w:pPr>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 xml:space="preserve"> 证券经营机构可以将产品或服务风险等级由低至高至少划分为五级,分别为：R1、R2、R3、R4、R5。具体划分方法、标准及其变更应当告知投资者。</w:t>
      </w:r>
    </w:p>
    <w:p>
      <w:pPr>
        <w:ind w:firstLine="627" w:firstLineChars="196"/>
        <w:rPr>
          <w:rFonts w:hint="eastAsia" w:ascii="仿宋_GB2312" w:hAnsi="宋体" w:eastAsia="仿宋_GB2312"/>
          <w:sz w:val="32"/>
          <w:szCs w:val="32"/>
        </w:rPr>
      </w:pPr>
      <w:r>
        <w:rPr>
          <w:rFonts w:hint="eastAsia" w:ascii="仿宋_GB2312" w:hAnsi="宋体" w:eastAsia="仿宋_GB2312"/>
          <w:sz w:val="32"/>
          <w:szCs w:val="32"/>
        </w:rPr>
        <w:t>证券经营机构应当根据《产品或服务风险等级名录》列出相对应的产品或服务清单。</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第十五条</w:t>
      </w:r>
      <w:r>
        <w:rPr>
          <w:rFonts w:hint="eastAsia" w:ascii="仿宋_GB2312" w:hAnsi="宋体" w:eastAsia="仿宋_GB2312"/>
          <w:sz w:val="32"/>
          <w:szCs w:val="32"/>
        </w:rPr>
        <w:t xml:space="preserve"> 证券经营机构向投资者销售产品或者提供服务涉及投资组合或资产配置的，应当按照投资组合或资产配置的整体风险对该产品或者服务进行风险等级评估，确定其风险等级。</w:t>
      </w:r>
    </w:p>
    <w:p>
      <w:pPr>
        <w:pStyle w:val="116"/>
        <w:spacing w:after="0" w:line="240" w:lineRule="auto"/>
        <w:ind w:left="0" w:firstLine="643" w:firstLineChars="200"/>
        <w:jc w:val="both"/>
        <w:rPr>
          <w:rFonts w:hint="eastAsia" w:ascii="仿宋_GB2312" w:hAnsi="宋体" w:eastAsia="仿宋_GB2312"/>
          <w:sz w:val="32"/>
          <w:szCs w:val="32"/>
          <w:lang w:eastAsia="zh-CN"/>
        </w:rPr>
      </w:pPr>
      <w:r>
        <w:rPr>
          <w:rFonts w:hint="eastAsia" w:ascii="仿宋_GB2312" w:hAnsi="宋体" w:eastAsia="仿宋_GB2312"/>
          <w:b/>
          <w:sz w:val="32"/>
          <w:szCs w:val="32"/>
          <w:lang w:eastAsia="zh-CN"/>
        </w:rPr>
        <w:t xml:space="preserve">第十六条 </w:t>
      </w:r>
      <w:r>
        <w:rPr>
          <w:rFonts w:hint="eastAsia" w:ascii="仿宋_GB2312" w:hAnsi="宋体" w:eastAsia="仿宋_GB2312"/>
          <w:sz w:val="32"/>
          <w:szCs w:val="32"/>
          <w:lang w:eastAsia="zh-CN"/>
        </w:rPr>
        <w:t>证券经营机构向普通投资者销售产品或提供服务，应当在遵守法律、行政法规、中国证监会规定以及投资者准入要求的前提下，根据投资者的风险承受能力等级与产品或服务的风险等级相匹配的原则，对投资者提出适当性匹配意见，履行适当性义务。</w:t>
      </w:r>
    </w:p>
    <w:p>
      <w:pPr>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第十七条 </w:t>
      </w:r>
      <w:r>
        <w:rPr>
          <w:rFonts w:hint="eastAsia" w:ascii="仿宋_GB2312" w:hAnsi="宋体" w:eastAsia="仿宋_GB2312"/>
          <w:sz w:val="32"/>
          <w:szCs w:val="32"/>
        </w:rPr>
        <w:t>证券经营机构应当根据本机构及普通投资者的实际情况，确定其风险承受能力等级与产品或服务的风险等级适当性匹配的具体方法，也可以参照以下方式确定：</w:t>
      </w:r>
    </w:p>
    <w:p>
      <w:pPr>
        <w:ind w:firstLine="640" w:firstLineChars="200"/>
        <w:rPr>
          <w:rFonts w:ascii="仿宋_GB2312" w:hAnsi="宋体" w:eastAsia="仿宋_GB2312"/>
          <w:sz w:val="32"/>
          <w:szCs w:val="32"/>
        </w:rPr>
      </w:pPr>
      <w:r>
        <w:rPr>
          <w:rFonts w:hint="eastAsia" w:ascii="仿宋_GB2312" w:hAnsi="宋体" w:eastAsia="仿宋_GB2312"/>
          <w:sz w:val="32"/>
          <w:szCs w:val="32"/>
        </w:rPr>
        <w:t>（一）C1级投资者匹配R1级的产品或服务；</w:t>
      </w:r>
    </w:p>
    <w:p>
      <w:pPr>
        <w:ind w:firstLine="640" w:firstLineChars="200"/>
        <w:rPr>
          <w:rFonts w:ascii="仿宋_GB2312" w:hAnsi="宋体" w:eastAsia="仿宋_GB2312"/>
          <w:sz w:val="32"/>
          <w:szCs w:val="32"/>
        </w:rPr>
      </w:pPr>
      <w:r>
        <w:rPr>
          <w:rFonts w:hint="eastAsia" w:ascii="仿宋_GB2312" w:hAnsi="宋体" w:eastAsia="仿宋_GB2312"/>
          <w:sz w:val="32"/>
          <w:szCs w:val="32"/>
        </w:rPr>
        <w:t>（二）C2级投资者匹配R2、R1级的产品或服务；</w:t>
      </w:r>
    </w:p>
    <w:p>
      <w:pPr>
        <w:ind w:firstLine="640" w:firstLineChars="200"/>
        <w:rPr>
          <w:rFonts w:ascii="仿宋_GB2312" w:hAnsi="宋体" w:eastAsia="仿宋_GB2312"/>
          <w:sz w:val="32"/>
          <w:szCs w:val="32"/>
        </w:rPr>
      </w:pPr>
      <w:r>
        <w:rPr>
          <w:rFonts w:hint="eastAsia" w:ascii="仿宋_GB2312" w:hAnsi="宋体" w:eastAsia="仿宋_GB2312"/>
          <w:sz w:val="32"/>
          <w:szCs w:val="32"/>
        </w:rPr>
        <w:t>（三）C3级投资者匹配R3、R2、R1级的产品或服务；</w:t>
      </w:r>
    </w:p>
    <w:p>
      <w:pPr>
        <w:ind w:firstLine="640" w:firstLineChars="200"/>
        <w:rPr>
          <w:rFonts w:ascii="仿宋_GB2312" w:hAnsi="宋体" w:eastAsia="仿宋_GB2312"/>
          <w:sz w:val="32"/>
          <w:szCs w:val="32"/>
        </w:rPr>
      </w:pPr>
      <w:r>
        <w:rPr>
          <w:rFonts w:hint="eastAsia" w:ascii="仿宋_GB2312" w:hAnsi="宋体" w:eastAsia="仿宋_GB2312"/>
          <w:sz w:val="32"/>
          <w:szCs w:val="32"/>
        </w:rPr>
        <w:t>（四）C4级投资者匹配R4、R3、R2、R1级的产品或服务；</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（五）C5级投资者匹配R5、R4、R3、R2、R1级的产品或服务。</w:t>
      </w:r>
    </w:p>
    <w:p>
      <w:pPr>
        <w:pStyle w:val="116"/>
        <w:spacing w:after="0" w:line="240" w:lineRule="auto"/>
        <w:ind w:left="0" w:firstLine="640" w:firstLineChars="200"/>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专业投资者可以购买或接受所有风险等级的产品或服务，法律、行政法规、中国证监会规定及市场、产品或服务对投资者准入有要求的，从其规定和要求。</w:t>
      </w:r>
    </w:p>
    <w:p>
      <w:pPr>
        <w:ind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第十八条 </w:t>
      </w:r>
      <w:r>
        <w:rPr>
          <w:rFonts w:hint="eastAsia" w:ascii="仿宋_GB2312" w:hAnsi="宋体" w:eastAsia="仿宋_GB2312"/>
          <w:sz w:val="32"/>
          <w:szCs w:val="32"/>
        </w:rPr>
        <w:t>证券经营机构对投资者提出的适当性匹配意见不代表其对产品或服务的风险和收益作出实质性判断或保证。投资者在参考证券经营机构适当性匹配意见的基础上，根据自身能力审慎独立决策，独立承担投资风险。</w:t>
      </w:r>
    </w:p>
    <w:p>
      <w:pPr>
        <w:ind w:firstLine="643" w:firstLineChars="200"/>
        <w:rPr>
          <w:rFonts w:hint="eastAsia" w:ascii="仿宋_GB2312" w:hAnsi="宋体" w:eastAsia="仿宋_GB2312"/>
          <w:sz w:val="32"/>
          <w:szCs w:val="32"/>
        </w:rPr>
      </w:pPr>
      <w:r>
        <w:rPr>
          <w:rFonts w:hint="eastAsia" w:ascii="仿宋_GB2312" w:hAnsi="宋体" w:eastAsia="仿宋_GB2312"/>
          <w:b/>
          <w:sz w:val="32"/>
          <w:szCs w:val="32"/>
        </w:rPr>
        <w:t xml:space="preserve">第十九条 </w:t>
      </w:r>
      <w:r>
        <w:rPr>
          <w:rFonts w:hint="eastAsia" w:ascii="仿宋_GB2312" w:hAnsi="宋体" w:eastAsia="仿宋_GB2312"/>
          <w:sz w:val="32"/>
          <w:szCs w:val="32"/>
        </w:rPr>
        <w:t>证券经营机构告知投资者不适合购买相关产品或者接受相关服务后，投资者主动要求购买风险等级高于其风险承受能力的产品或者接受相关服务的，证券经营机构在确认其不属于风险承受能力最低类别的投资者后，应当就产品或者服务风险高于其承受能力进行特别的书面风险警示，投资者仍坚持购买的，可以向其销售相关产品或者提供相关服务。</w:t>
      </w:r>
    </w:p>
    <w:p>
      <w:pPr>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第二十条 </w:t>
      </w:r>
      <w:r>
        <w:rPr>
          <w:rFonts w:hint="eastAsia" w:ascii="仿宋_GB2312" w:hAnsi="宋体" w:eastAsia="仿宋_GB2312"/>
          <w:sz w:val="32"/>
          <w:szCs w:val="32"/>
        </w:rPr>
        <w:t>投资者风险承受能力等级与产品或服务风险等级相匹配的，证券经营机构应当与投资者签署确认适当性匹配结果；不匹配的，应当与投资者签署确认风险警示。</w:t>
      </w:r>
    </w:p>
    <w:p>
      <w:pPr>
        <w:widowControl/>
        <w:shd w:val="clear" w:color="auto" w:fill="FFFFFF"/>
        <w:ind w:firstLine="581"/>
        <w:rPr>
          <w:rFonts w:ascii="仿宋_GB2312" w:hAnsi="宋体" w:eastAsia="仿宋_GB2312"/>
          <w:sz w:val="32"/>
          <w:szCs w:val="32"/>
        </w:rPr>
      </w:pPr>
      <w:r>
        <w:rPr>
          <w:rFonts w:ascii="仿宋_GB2312" w:hAnsi="宋体" w:eastAsia="仿宋_GB2312"/>
          <w:b/>
          <w:sz w:val="32"/>
          <w:szCs w:val="32"/>
        </w:rPr>
        <w:t>第</w:t>
      </w:r>
      <w:r>
        <w:rPr>
          <w:rFonts w:hint="eastAsia" w:ascii="仿宋_GB2312" w:hAnsi="宋体" w:eastAsia="仿宋_GB2312"/>
          <w:b/>
          <w:sz w:val="32"/>
          <w:szCs w:val="32"/>
        </w:rPr>
        <w:t>二十一</w:t>
      </w:r>
      <w:r>
        <w:rPr>
          <w:rFonts w:ascii="仿宋_GB2312" w:hAnsi="宋体" w:eastAsia="仿宋_GB2312"/>
          <w:b/>
          <w:sz w:val="32"/>
          <w:szCs w:val="32"/>
        </w:rPr>
        <w:t>条</w:t>
      </w:r>
      <w:r>
        <w:rPr>
          <w:rFonts w:ascii="仿宋_GB2312" w:hAnsi="宋体" w:eastAsia="仿宋_GB2312"/>
          <w:sz w:val="32"/>
          <w:szCs w:val="32"/>
        </w:rPr>
        <w:t xml:space="preserve"> 证券</w:t>
      </w:r>
      <w:r>
        <w:rPr>
          <w:rFonts w:hint="eastAsia" w:ascii="仿宋_GB2312" w:hAnsi="宋体" w:eastAsia="仿宋_GB2312"/>
          <w:sz w:val="32"/>
          <w:szCs w:val="32"/>
        </w:rPr>
        <w:t>经营机构</w:t>
      </w:r>
      <w:r>
        <w:rPr>
          <w:rFonts w:ascii="仿宋_GB2312" w:hAnsi="宋体" w:eastAsia="仿宋_GB2312"/>
          <w:sz w:val="32"/>
          <w:szCs w:val="32"/>
        </w:rPr>
        <w:t>销售产品、提供服务，应当向</w:t>
      </w:r>
      <w:r>
        <w:rPr>
          <w:rFonts w:hint="eastAsia" w:ascii="仿宋_GB2312" w:hAnsi="宋体" w:eastAsia="仿宋_GB2312"/>
          <w:sz w:val="32"/>
          <w:szCs w:val="32"/>
        </w:rPr>
        <w:t>投资者充分</w:t>
      </w:r>
      <w:r>
        <w:rPr>
          <w:rFonts w:ascii="仿宋_GB2312" w:hAnsi="宋体" w:eastAsia="仿宋_GB2312"/>
          <w:sz w:val="32"/>
          <w:szCs w:val="32"/>
        </w:rPr>
        <w:t>披露</w:t>
      </w:r>
      <w:r>
        <w:rPr>
          <w:rFonts w:hint="eastAsia" w:ascii="仿宋_GB2312" w:hAnsi="宋体" w:eastAsia="仿宋_GB2312"/>
          <w:sz w:val="32"/>
          <w:szCs w:val="32"/>
        </w:rPr>
        <w:t>产品或服务</w:t>
      </w:r>
      <w:r>
        <w:rPr>
          <w:rFonts w:ascii="仿宋_GB2312" w:hAnsi="宋体" w:eastAsia="仿宋_GB2312"/>
          <w:sz w:val="32"/>
          <w:szCs w:val="32"/>
        </w:rPr>
        <w:t>信息</w:t>
      </w:r>
      <w:r>
        <w:rPr>
          <w:rFonts w:hint="eastAsia" w:ascii="仿宋_GB2312" w:hAnsi="宋体" w:eastAsia="仿宋_GB2312"/>
          <w:sz w:val="32"/>
          <w:szCs w:val="32"/>
        </w:rPr>
        <w:t>以及</w:t>
      </w:r>
      <w:r>
        <w:rPr>
          <w:rFonts w:ascii="仿宋_GB2312" w:hAnsi="宋体" w:eastAsia="仿宋_GB2312"/>
          <w:sz w:val="32"/>
          <w:szCs w:val="32"/>
        </w:rPr>
        <w:t>有助于</w:t>
      </w:r>
      <w:r>
        <w:rPr>
          <w:rFonts w:hint="eastAsia" w:ascii="仿宋_GB2312" w:hAnsi="宋体" w:eastAsia="仿宋_GB2312"/>
          <w:sz w:val="32"/>
          <w:szCs w:val="32"/>
        </w:rPr>
        <w:t>投资者作出投资</w:t>
      </w:r>
      <w:r>
        <w:rPr>
          <w:rFonts w:ascii="仿宋_GB2312" w:hAnsi="宋体" w:eastAsia="仿宋_GB2312"/>
          <w:sz w:val="32"/>
          <w:szCs w:val="32"/>
        </w:rPr>
        <w:t>分析判断的</w:t>
      </w:r>
      <w:r>
        <w:rPr>
          <w:rFonts w:hint="eastAsia" w:ascii="仿宋_GB2312" w:hAnsi="宋体" w:eastAsia="仿宋_GB2312"/>
          <w:sz w:val="32"/>
          <w:szCs w:val="32"/>
        </w:rPr>
        <w:t>其他信息。披露的信息</w:t>
      </w:r>
      <w:r>
        <w:rPr>
          <w:rFonts w:ascii="仿宋_GB2312" w:hAnsi="宋体" w:eastAsia="仿宋_GB2312"/>
          <w:sz w:val="32"/>
          <w:szCs w:val="32"/>
        </w:rPr>
        <w:t>不得含有虚假、误导性</w:t>
      </w:r>
      <w:r>
        <w:rPr>
          <w:rFonts w:hint="eastAsia" w:ascii="仿宋_GB2312" w:hAnsi="宋体" w:eastAsia="仿宋_GB2312"/>
          <w:sz w:val="32"/>
          <w:szCs w:val="32"/>
        </w:rPr>
        <w:t>陈述</w:t>
      </w:r>
      <w:r>
        <w:rPr>
          <w:rFonts w:ascii="仿宋_GB2312" w:hAnsi="宋体" w:eastAsia="仿宋_GB2312"/>
          <w:sz w:val="32"/>
          <w:szCs w:val="32"/>
        </w:rPr>
        <w:t>或存在重大遗漏，不得欺诈</w:t>
      </w:r>
      <w:r>
        <w:rPr>
          <w:rFonts w:hint="eastAsia" w:ascii="仿宋_GB2312" w:hAnsi="宋体" w:eastAsia="仿宋_GB2312"/>
          <w:sz w:val="32"/>
          <w:szCs w:val="32"/>
        </w:rPr>
        <w:t>投资者</w:t>
      </w:r>
      <w:r>
        <w:rPr>
          <w:rFonts w:ascii="仿宋_GB2312" w:hAnsi="宋体" w:eastAsia="仿宋_GB2312"/>
          <w:sz w:val="32"/>
          <w:szCs w:val="32"/>
        </w:rPr>
        <w:t>。</w:t>
      </w:r>
    </w:p>
    <w:p>
      <w:pPr>
        <w:widowControl/>
        <w:shd w:val="clear" w:color="auto" w:fill="FFFFFF"/>
        <w:ind w:firstLine="420"/>
        <w:rPr>
          <w:rFonts w:hint="eastAsia" w:ascii="仿宋_GB2312" w:hAnsi="宋体" w:eastAsia="仿宋_GB2312"/>
          <w:sz w:val="32"/>
          <w:szCs w:val="32"/>
        </w:rPr>
      </w:pPr>
      <w:r>
        <w:rPr>
          <w:rFonts w:hint="eastAsia" w:ascii="仿宋_GB2312" w:hAnsi="宋体" w:eastAsia="仿宋_GB2312"/>
          <w:b/>
          <w:sz w:val="32"/>
          <w:szCs w:val="32"/>
        </w:rPr>
        <w:t xml:space="preserve"> </w:t>
      </w:r>
      <w:r>
        <w:rPr>
          <w:rFonts w:ascii="仿宋_GB2312" w:hAnsi="宋体" w:eastAsia="仿宋_GB2312"/>
          <w:b/>
          <w:sz w:val="32"/>
          <w:szCs w:val="32"/>
        </w:rPr>
        <w:t>第二十</w:t>
      </w:r>
      <w:r>
        <w:rPr>
          <w:rFonts w:hint="eastAsia" w:ascii="仿宋_GB2312" w:hAnsi="宋体" w:eastAsia="仿宋_GB2312"/>
          <w:b/>
          <w:sz w:val="32"/>
          <w:szCs w:val="32"/>
        </w:rPr>
        <w:t>二</w:t>
      </w:r>
      <w:r>
        <w:rPr>
          <w:rFonts w:ascii="仿宋_GB2312" w:hAnsi="宋体" w:eastAsia="仿宋_GB2312"/>
          <w:b/>
          <w:sz w:val="32"/>
          <w:szCs w:val="32"/>
        </w:rPr>
        <w:t xml:space="preserve">条 </w:t>
      </w:r>
      <w:r>
        <w:rPr>
          <w:rFonts w:ascii="仿宋_GB2312" w:hAnsi="宋体" w:eastAsia="仿宋_GB2312"/>
          <w:sz w:val="32"/>
          <w:szCs w:val="32"/>
        </w:rPr>
        <w:t>证券</w:t>
      </w:r>
      <w:r>
        <w:rPr>
          <w:rFonts w:hint="eastAsia" w:ascii="仿宋_GB2312" w:hAnsi="宋体" w:eastAsia="仿宋_GB2312"/>
          <w:sz w:val="32"/>
          <w:szCs w:val="32"/>
        </w:rPr>
        <w:t>经营机构</w:t>
      </w:r>
      <w:r>
        <w:rPr>
          <w:rFonts w:ascii="仿宋_GB2312" w:hAnsi="宋体" w:eastAsia="仿宋_GB2312"/>
          <w:sz w:val="32"/>
          <w:szCs w:val="32"/>
        </w:rPr>
        <w:t>销售产品</w:t>
      </w:r>
      <w:r>
        <w:rPr>
          <w:rFonts w:hint="eastAsia" w:ascii="仿宋_GB2312" w:hAnsi="宋体" w:eastAsia="仿宋_GB2312"/>
          <w:sz w:val="32"/>
          <w:szCs w:val="32"/>
        </w:rPr>
        <w:t>、提供服务</w:t>
      </w:r>
      <w:r>
        <w:rPr>
          <w:rFonts w:ascii="仿宋_GB2312" w:hAnsi="宋体" w:eastAsia="仿宋_GB2312"/>
          <w:sz w:val="32"/>
          <w:szCs w:val="32"/>
        </w:rPr>
        <w:t>，应当向</w:t>
      </w:r>
      <w:r>
        <w:rPr>
          <w:rFonts w:hint="eastAsia" w:ascii="仿宋_GB2312" w:hAnsi="宋体" w:eastAsia="仿宋_GB2312"/>
          <w:sz w:val="32"/>
          <w:szCs w:val="32"/>
        </w:rPr>
        <w:t>投资者</w:t>
      </w:r>
      <w:r>
        <w:rPr>
          <w:rFonts w:ascii="仿宋_GB2312" w:hAnsi="宋体" w:eastAsia="仿宋_GB2312"/>
          <w:sz w:val="32"/>
          <w:szCs w:val="32"/>
        </w:rPr>
        <w:t>充分揭示产品</w:t>
      </w:r>
      <w:r>
        <w:rPr>
          <w:rFonts w:hint="eastAsia" w:ascii="仿宋_GB2312" w:hAnsi="宋体" w:eastAsia="仿宋_GB2312"/>
          <w:sz w:val="32"/>
          <w:szCs w:val="32"/>
        </w:rPr>
        <w:t>或服务</w:t>
      </w:r>
      <w:r>
        <w:rPr>
          <w:rFonts w:ascii="仿宋_GB2312" w:hAnsi="宋体" w:eastAsia="仿宋_GB2312"/>
          <w:sz w:val="32"/>
          <w:szCs w:val="32"/>
        </w:rPr>
        <w:t>的信用风险、市场风险、流动性风险等可能影响</w:t>
      </w:r>
      <w:r>
        <w:rPr>
          <w:rFonts w:hint="eastAsia" w:ascii="仿宋_GB2312" w:hAnsi="宋体" w:eastAsia="仿宋_GB2312"/>
          <w:sz w:val="32"/>
          <w:szCs w:val="32"/>
        </w:rPr>
        <w:t>投资者</w:t>
      </w:r>
      <w:r>
        <w:rPr>
          <w:rFonts w:ascii="仿宋_GB2312" w:hAnsi="宋体" w:eastAsia="仿宋_GB2312"/>
          <w:sz w:val="32"/>
          <w:szCs w:val="32"/>
        </w:rPr>
        <w:t>权益的主要风险</w:t>
      </w:r>
      <w:r>
        <w:rPr>
          <w:rFonts w:hint="eastAsia" w:ascii="仿宋_GB2312" w:hAnsi="宋体" w:eastAsia="仿宋_GB2312"/>
          <w:sz w:val="32"/>
          <w:szCs w:val="32"/>
        </w:rPr>
        <w:t>以及具体产品或服务的特别风险，并由投资者签署确认</w:t>
      </w:r>
      <w:r>
        <w:rPr>
          <w:rFonts w:ascii="仿宋_GB2312" w:hAnsi="宋体" w:eastAsia="仿宋_GB2312"/>
          <w:sz w:val="32"/>
          <w:szCs w:val="32"/>
        </w:rPr>
        <w:t>。</w:t>
      </w:r>
    </w:p>
    <w:p>
      <w:pPr>
        <w:pStyle w:val="84"/>
        <w:ind w:firstLine="630" w:firstLineChars="196"/>
        <w:rPr>
          <w:rFonts w:ascii="仿宋_GB2312" w:hAnsi="宋体" w:eastAsia="仿宋_GB2312"/>
          <w:color w:val="000000"/>
          <w:sz w:val="32"/>
          <w:szCs w:val="32"/>
        </w:rPr>
      </w:pPr>
      <w:r>
        <w:rPr>
          <w:rFonts w:hint="eastAsia" w:ascii="仿宋_GB2312" w:hAnsi="宋体" w:eastAsia="仿宋_GB2312"/>
          <w:b/>
          <w:sz w:val="32"/>
          <w:szCs w:val="32"/>
        </w:rPr>
        <w:t xml:space="preserve">第二十三条 </w:t>
      </w:r>
      <w:r>
        <w:rPr>
          <w:rFonts w:hint="eastAsia" w:ascii="仿宋_GB2312" w:hAnsi="宋体" w:eastAsia="仿宋_GB2312"/>
          <w:color w:val="000000"/>
          <w:sz w:val="32"/>
          <w:szCs w:val="32"/>
        </w:rPr>
        <w:t>证券经营机构应当建立健全投资者回访制度，对购买产品或接受服务的投资者，每年抽取</w:t>
      </w:r>
      <w:r>
        <w:rPr>
          <w:rFonts w:ascii="仿宋_GB2312" w:hAnsi="宋体" w:eastAsia="仿宋_GB2312"/>
          <w:color w:val="000000"/>
          <w:sz w:val="32"/>
          <w:szCs w:val="32"/>
        </w:rPr>
        <w:t>不低于上</w:t>
      </w:r>
      <w:r>
        <w:rPr>
          <w:rFonts w:hint="eastAsia" w:ascii="仿宋_GB2312" w:hAnsi="宋体" w:eastAsia="仿宋_GB2312"/>
          <w:color w:val="000000"/>
          <w:sz w:val="32"/>
          <w:szCs w:val="32"/>
        </w:rPr>
        <w:t>一年度</w:t>
      </w:r>
      <w:r>
        <w:rPr>
          <w:rFonts w:ascii="仿宋_GB2312" w:hAnsi="宋体" w:eastAsia="仿宋_GB2312"/>
          <w:color w:val="000000"/>
          <w:sz w:val="32"/>
          <w:szCs w:val="32"/>
        </w:rPr>
        <w:t>末</w:t>
      </w:r>
      <w:r>
        <w:rPr>
          <w:rFonts w:hint="eastAsia" w:ascii="仿宋_GB2312" w:hAnsi="宋体" w:eastAsia="仿宋_GB2312"/>
          <w:color w:val="000000"/>
          <w:sz w:val="32"/>
          <w:szCs w:val="32"/>
        </w:rPr>
        <w:t>购买产品或接受服务的投资者</w:t>
      </w:r>
      <w:r>
        <w:rPr>
          <w:rFonts w:ascii="仿宋_GB2312" w:hAnsi="宋体" w:eastAsia="仿宋_GB2312"/>
          <w:color w:val="000000"/>
          <w:sz w:val="32"/>
          <w:szCs w:val="32"/>
        </w:rPr>
        <w:t>总数（</w:t>
      </w:r>
      <w:r>
        <w:rPr>
          <w:rFonts w:hint="eastAsia" w:ascii="仿宋_GB2312" w:hAnsi="宋体" w:eastAsia="仿宋_GB2312"/>
          <w:color w:val="000000"/>
          <w:sz w:val="32"/>
          <w:szCs w:val="32"/>
        </w:rPr>
        <w:t>含购买或者接受产品或服务的风险等级高于其风险承受能力的投资者，</w:t>
      </w:r>
      <w:r>
        <w:rPr>
          <w:rFonts w:ascii="仿宋_GB2312" w:hAnsi="宋体" w:eastAsia="仿宋_GB2312"/>
          <w:color w:val="000000"/>
          <w:sz w:val="32"/>
          <w:szCs w:val="32"/>
        </w:rPr>
        <w:t>不含休眠账户及中止交易账户</w:t>
      </w:r>
      <w:r>
        <w:rPr>
          <w:rFonts w:hint="eastAsia" w:ascii="仿宋_GB2312" w:hAnsi="宋体" w:eastAsia="仿宋_GB2312"/>
          <w:color w:val="000000"/>
          <w:sz w:val="32"/>
          <w:szCs w:val="32"/>
        </w:rPr>
        <w:t>投资者</w:t>
      </w:r>
      <w:r>
        <w:rPr>
          <w:rFonts w:ascii="仿宋_GB2312" w:hAnsi="宋体" w:eastAsia="仿宋_GB2312"/>
          <w:color w:val="000000"/>
          <w:sz w:val="32"/>
          <w:szCs w:val="32"/>
        </w:rPr>
        <w:t>）的10%</w:t>
      </w:r>
      <w:r>
        <w:rPr>
          <w:rFonts w:hint="eastAsia" w:ascii="仿宋_GB2312" w:hAnsi="宋体" w:eastAsia="仿宋_GB2312"/>
          <w:color w:val="000000"/>
          <w:sz w:val="32"/>
          <w:szCs w:val="32"/>
        </w:rPr>
        <w:t>进行回访。回访的内容包括但</w:t>
      </w:r>
      <w:r>
        <w:rPr>
          <w:rFonts w:ascii="仿宋_GB2312" w:hAnsi="宋体" w:eastAsia="仿宋_GB2312"/>
          <w:color w:val="000000"/>
          <w:sz w:val="32"/>
          <w:szCs w:val="32"/>
        </w:rPr>
        <w:t>不限于</w:t>
      </w:r>
      <w:r>
        <w:rPr>
          <w:rFonts w:hint="eastAsia" w:ascii="仿宋_GB2312" w:hAnsi="宋体" w:eastAsia="仿宋_GB2312"/>
          <w:color w:val="000000"/>
          <w:sz w:val="32"/>
          <w:szCs w:val="32"/>
        </w:rPr>
        <w:t>：</w:t>
      </w:r>
    </w:p>
    <w:p>
      <w:pPr>
        <w:pStyle w:val="84"/>
        <w:ind w:firstLine="640"/>
        <w:rPr>
          <w:rFonts w:ascii="仿宋_GB2312" w:hAnsi="宋体" w:eastAsia="仿宋_GB2312"/>
          <w:color w:val="000000"/>
          <w:sz w:val="32"/>
          <w:szCs w:val="32"/>
        </w:rPr>
      </w:pPr>
      <w:r>
        <w:rPr>
          <w:rFonts w:hint="eastAsia" w:ascii="仿宋_GB2312" w:hAnsi="宋体" w:eastAsia="仿宋_GB2312"/>
          <w:color w:val="000000"/>
          <w:sz w:val="32"/>
          <w:szCs w:val="32"/>
        </w:rPr>
        <w:t>（一）受访人是否为投资者本人；</w:t>
      </w:r>
    </w:p>
    <w:p>
      <w:pPr>
        <w:pStyle w:val="84"/>
        <w:ind w:firstLine="640"/>
        <w:rPr>
          <w:rFonts w:ascii="仿宋_GB2312" w:hAnsi="宋体" w:eastAsia="仿宋_GB2312"/>
          <w:color w:val="000000"/>
          <w:sz w:val="32"/>
          <w:szCs w:val="32"/>
        </w:rPr>
      </w:pPr>
      <w:r>
        <w:rPr>
          <w:rFonts w:hint="eastAsia" w:ascii="仿宋_GB2312" w:hAnsi="宋体" w:eastAsia="仿宋_GB2312"/>
          <w:color w:val="000000"/>
          <w:sz w:val="32"/>
          <w:szCs w:val="32"/>
        </w:rPr>
        <w:t>（二）受访人是否按规定填写了《投资者基本信息表》、《投资者风险承受能力评估问卷》等并按要求签署；</w:t>
      </w:r>
    </w:p>
    <w:p>
      <w:pPr>
        <w:pStyle w:val="84"/>
        <w:ind w:firstLine="640"/>
        <w:rPr>
          <w:rFonts w:hint="eastAsia" w:ascii="仿宋_GB2312" w:hAnsi="宋体" w:eastAsia="仿宋_GB2312"/>
          <w:color w:val="000000"/>
          <w:sz w:val="32"/>
          <w:szCs w:val="32"/>
        </w:rPr>
      </w:pPr>
      <w:r>
        <w:rPr>
          <w:rFonts w:hint="eastAsia" w:ascii="仿宋_GB2312" w:hAnsi="宋体" w:eastAsia="仿宋_GB2312"/>
          <w:color w:val="000000"/>
          <w:sz w:val="32"/>
          <w:szCs w:val="32"/>
        </w:rPr>
        <w:t>（三）受访人是否已知晓产品或服务的风险以及相关风险警示；</w:t>
      </w:r>
    </w:p>
    <w:p>
      <w:pPr>
        <w:pStyle w:val="84"/>
        <w:ind w:firstLine="640"/>
        <w:rPr>
          <w:rFonts w:ascii="仿宋_GB2312" w:hAnsi="宋体" w:eastAsia="仿宋_GB2312"/>
          <w:color w:val="000000"/>
          <w:sz w:val="32"/>
          <w:szCs w:val="32"/>
        </w:rPr>
      </w:pPr>
      <w:r>
        <w:rPr>
          <w:rFonts w:hint="eastAsia" w:ascii="仿宋_GB2312" w:hAnsi="宋体" w:eastAsia="仿宋_GB2312"/>
          <w:color w:val="000000"/>
          <w:sz w:val="32"/>
          <w:szCs w:val="32"/>
        </w:rPr>
        <w:t>（四）受访人是否已知晓所购买产品或接受服务的业务规则；</w:t>
      </w:r>
    </w:p>
    <w:p>
      <w:pPr>
        <w:pStyle w:val="84"/>
        <w:ind w:firstLine="640"/>
        <w:rPr>
          <w:rFonts w:ascii="仿宋_GB2312" w:hAnsi="宋体" w:eastAsia="仿宋_GB2312"/>
          <w:color w:val="000000"/>
          <w:sz w:val="32"/>
          <w:szCs w:val="32"/>
        </w:rPr>
      </w:pPr>
      <w:r>
        <w:rPr>
          <w:rFonts w:hint="eastAsia" w:ascii="仿宋_GB2312" w:hAnsi="宋体" w:eastAsia="仿宋_GB2312"/>
          <w:color w:val="000000"/>
          <w:sz w:val="32"/>
          <w:szCs w:val="32"/>
        </w:rPr>
        <w:t>（五）受访人是否已知晓自己的风险承受能力等级、购买的产品或者接受服务的风险等级以及适当性匹配意见；</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（六）受访人是否知晓承担的费用以及可能产生的投资损失；</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（七）证券经营机构及其工作人员是否存在</w:t>
      </w:r>
      <w:r>
        <w:rPr>
          <w:rFonts w:hint="eastAsia" w:ascii="仿宋_GB2312" w:hAnsi="Calibri" w:eastAsia="仿宋_GB2312" w:cs="宋体"/>
          <w:kern w:val="0"/>
          <w:sz w:val="32"/>
          <w:szCs w:val="32"/>
        </w:rPr>
        <w:t>《办法》第二十二条规定的禁止行为</w:t>
      </w:r>
      <w:r>
        <w:rPr>
          <w:rFonts w:hint="eastAsia" w:ascii="仿宋_GB2312" w:hAnsi="宋体" w:eastAsia="仿宋_GB2312"/>
          <w:color w:val="000000"/>
          <w:sz w:val="32"/>
          <w:szCs w:val="32"/>
        </w:rPr>
        <w:t>。</w:t>
      </w:r>
    </w:p>
    <w:p>
      <w:pPr>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第二十四条 </w:t>
      </w:r>
      <w:r>
        <w:rPr>
          <w:rFonts w:hint="eastAsia" w:ascii="仿宋_GB2312" w:hAnsi="宋体" w:eastAsia="仿宋_GB2312"/>
          <w:sz w:val="32"/>
          <w:szCs w:val="32"/>
        </w:rPr>
        <w:t xml:space="preserve">证券经营机构应当结合自身实际需要，定期或不定期对相关岗位人员开展与适当性管理有关的培训，提高其履行适当性义务所需的知识和技能。 </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第二十五条</w:t>
      </w:r>
      <w:r>
        <w:rPr>
          <w:rFonts w:hint="eastAsia" w:ascii="仿宋_GB2312" w:hAnsi="宋体" w:eastAsia="仿宋_GB2312"/>
          <w:sz w:val="32"/>
          <w:szCs w:val="32"/>
        </w:rPr>
        <w:t xml:space="preserve"> 证券经营机构应当将相关岗位人员履行适当性义务、处理客户投诉与纠纷等纳入绩效考核范围。</w:t>
      </w:r>
    </w:p>
    <w:p>
      <w:pPr>
        <w:ind w:firstLine="640" w:firstLineChars="200"/>
        <w:rPr>
          <w:rFonts w:ascii="仿宋_GB2312" w:hAnsi="宋体" w:eastAsia="仿宋_GB2312"/>
          <w:sz w:val="32"/>
          <w:szCs w:val="32"/>
        </w:rPr>
      </w:pPr>
      <w:r>
        <w:rPr>
          <w:rFonts w:hint="eastAsia" w:ascii="仿宋_GB2312" w:hAnsi="宋体" w:eastAsia="仿宋_GB2312"/>
          <w:sz w:val="32"/>
          <w:szCs w:val="32"/>
        </w:rPr>
        <w:t>证券经营机构不得采取鼓励不适当销售或服务的考核激励措施。</w:t>
      </w:r>
    </w:p>
    <w:p>
      <w:pPr>
        <w:ind w:firstLine="630" w:firstLineChars="196"/>
        <w:rPr>
          <w:rFonts w:ascii="仿宋_GB2312" w:hAnsi="宋体" w:eastAsia="仿宋_GB2312"/>
          <w:sz w:val="32"/>
          <w:szCs w:val="32"/>
        </w:rPr>
      </w:pPr>
      <w:r>
        <w:rPr>
          <w:rFonts w:hint="eastAsia" w:ascii="仿宋_GB2312" w:hAnsi="宋体" w:eastAsia="仿宋_GB2312"/>
          <w:b/>
          <w:sz w:val="32"/>
          <w:szCs w:val="32"/>
        </w:rPr>
        <w:t>第二十六条</w:t>
      </w:r>
      <w:r>
        <w:rPr>
          <w:rFonts w:hint="eastAsia" w:ascii="仿宋_GB2312" w:hAnsi="宋体" w:eastAsia="仿宋_GB2312"/>
          <w:sz w:val="32"/>
          <w:szCs w:val="32"/>
        </w:rPr>
        <w:t xml:space="preserve"> 证券经营机构应当对相关岗位人员履行适当性义务的行为进行监督检查，对违反投资者适当性管理规定的人员进行问责。</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第二十七条</w:t>
      </w:r>
      <w:r>
        <w:rPr>
          <w:rFonts w:hint="eastAsia" w:ascii="仿宋_GB2312" w:hAnsi="宋体" w:eastAsia="仿宋_GB2312"/>
          <w:sz w:val="32"/>
          <w:szCs w:val="32"/>
        </w:rPr>
        <w:t xml:space="preserve"> 证券经营机构及其工作人员应当对在履行适当性义务时获取的投资者基本信息、投资者风险承受能力评级结果等信息严格保密，防止该等信息被泄露或被不当利用。</w:t>
      </w:r>
    </w:p>
    <w:p>
      <w:pPr>
        <w:ind w:firstLine="630" w:firstLineChars="196"/>
        <w:rPr>
          <w:rFonts w:ascii="仿宋_GB2312" w:hAnsi="宋体" w:eastAsia="仿宋_GB2312"/>
          <w:sz w:val="32"/>
          <w:szCs w:val="32"/>
        </w:rPr>
      </w:pPr>
      <w:r>
        <w:rPr>
          <w:rFonts w:hint="eastAsia" w:ascii="仿宋_GB2312" w:hAnsi="宋体" w:eastAsia="仿宋_GB2312"/>
          <w:b/>
          <w:color w:val="000000"/>
          <w:sz w:val="32"/>
          <w:szCs w:val="32"/>
        </w:rPr>
        <w:t>第二十八条</w:t>
      </w:r>
      <w:r>
        <w:rPr>
          <w:rFonts w:hint="eastAsia" w:ascii="仿宋_GB2312" w:hAnsi="宋体" w:eastAsia="仿宋_GB2312"/>
          <w:sz w:val="32"/>
          <w:szCs w:val="32"/>
        </w:rPr>
        <w:t xml:space="preserve"> 证券经营机构应妥善处理因履行适当性义务引起的投资者投诉与纠纷，保存相关记录，及时分析总结，改进和完善相关机制与制度。</w:t>
      </w:r>
    </w:p>
    <w:p>
      <w:pPr>
        <w:ind w:firstLine="630" w:firstLineChars="196"/>
        <w:rPr>
          <w:rFonts w:hint="eastAsia" w:ascii="仿宋_GB2312" w:eastAsia="仿宋_GB2312" w:cs="宋体"/>
          <w:kern w:val="0"/>
          <w:sz w:val="32"/>
          <w:szCs w:val="32"/>
        </w:rPr>
      </w:pPr>
      <w:r>
        <w:rPr>
          <w:rFonts w:hint="eastAsia" w:ascii="仿宋_GB2312" w:hAnsi="宋体" w:eastAsia="仿宋_GB2312"/>
          <w:b/>
          <w:color w:val="000000"/>
          <w:sz w:val="32"/>
          <w:szCs w:val="32"/>
        </w:rPr>
        <w:t>第二十九条</w:t>
      </w:r>
      <w:r>
        <w:rPr>
          <w:rFonts w:hint="eastAsia" w:ascii="仿宋_GB2312" w:hAnsi="宋体" w:eastAsia="仿宋_GB2312"/>
          <w:color w:val="000000"/>
          <w:sz w:val="32"/>
          <w:szCs w:val="32"/>
        </w:rPr>
        <w:t xml:space="preserve"> 证券经营机构应当依据《办法》第三十条的规定进行适当性自查，自查的内容包括但不限于适当性管理制度建设及落实、人员培训及考核、投资者投诉纠纷处理、发现问题及整改等情况。</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第三十条</w:t>
      </w:r>
      <w:r>
        <w:rPr>
          <w:rFonts w:hint="eastAsia" w:ascii="仿宋_GB2312" w:hAnsi="宋体" w:eastAsia="仿宋_GB2312"/>
          <w:sz w:val="32"/>
          <w:szCs w:val="32"/>
        </w:rPr>
        <w:t xml:space="preserve"> 证券经营机构与投资者发生适当性相关的纠纷，可以按相关规定向协会申请调解。</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第三十一条</w:t>
      </w:r>
      <w:r>
        <w:rPr>
          <w:rFonts w:hint="eastAsia" w:ascii="仿宋_GB2312" w:hAnsi="宋体" w:eastAsia="仿宋_GB2312"/>
          <w:sz w:val="32"/>
          <w:szCs w:val="32"/>
        </w:rPr>
        <w:t xml:space="preserve"> 协会对证券经营机构履行适当性义务进行自律管理，对违反适当性管理规定的证券经营机构及人员依法采取自律惩戒措施。</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第三十二条</w:t>
      </w:r>
      <w:r>
        <w:rPr>
          <w:rFonts w:hint="eastAsia" w:ascii="仿宋_GB2312" w:hAnsi="宋体" w:eastAsia="仿宋_GB2312"/>
          <w:sz w:val="32"/>
          <w:szCs w:val="32"/>
        </w:rPr>
        <w:t xml:space="preserve"> 本指引所称书面形式包括纸质或电子形式。</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第三十三条</w:t>
      </w:r>
      <w:r>
        <w:rPr>
          <w:rFonts w:hint="eastAsia" w:ascii="仿宋_GB2312" w:hAnsi="宋体" w:eastAsia="仿宋_GB2312"/>
          <w:sz w:val="32"/>
          <w:szCs w:val="32"/>
        </w:rPr>
        <w:t xml:space="preserve"> 本指引由中国证券业协会负责解释。</w:t>
      </w:r>
    </w:p>
    <w:p>
      <w:pPr>
        <w:ind w:firstLine="643" w:firstLineChars="200"/>
        <w:rPr>
          <w:rFonts w:hint="eastAsia" w:ascii="仿宋_GB2312" w:hAnsi="宋体" w:eastAsia="仿宋_GB2312"/>
          <w:sz w:val="32"/>
          <w:szCs w:val="32"/>
        </w:rPr>
      </w:pPr>
      <w:r>
        <w:rPr>
          <w:rFonts w:hint="eastAsia" w:ascii="仿宋_GB2312" w:hAnsi="宋体" w:eastAsia="仿宋_GB2312"/>
          <w:b/>
          <w:sz w:val="32"/>
          <w:szCs w:val="32"/>
        </w:rPr>
        <w:t>第三十四条</w:t>
      </w:r>
      <w:r>
        <w:rPr>
          <w:rFonts w:hint="eastAsia" w:ascii="仿宋_GB2312" w:hAnsi="宋体" w:eastAsia="仿宋_GB2312"/>
          <w:sz w:val="32"/>
          <w:szCs w:val="32"/>
        </w:rPr>
        <w:t xml:space="preserve"> 本指引自2017年7月1日起实施，《证券公司投资者适当性制度指引》、《关于发布&lt;个人投资者风险承受能力评估问卷（试行模板）&gt;的通知》同时废止。</w:t>
      </w: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jc w:val="left"/>
        <w:rPr>
          <w:rFonts w:hint="eastAsia" w:ascii="仿宋_GB2312" w:hAnsi="宋体" w:eastAsia="仿宋_GB2312"/>
          <w:sz w:val="32"/>
          <w:szCs w:val="32"/>
        </w:rPr>
      </w:pPr>
    </w:p>
    <w:p>
      <w:pPr>
        <w:jc w:val="left"/>
        <w:rPr>
          <w:rFonts w:hint="eastAsia" w:ascii="仿宋_GB2312" w:hAnsi="宋体" w:eastAsia="仿宋_GB2312"/>
          <w:sz w:val="32"/>
          <w:szCs w:val="32"/>
        </w:rPr>
      </w:pPr>
    </w:p>
    <w:p>
      <w:pPr>
        <w:jc w:val="left"/>
        <w:rPr>
          <w:rFonts w:hint="eastAsia" w:ascii="仿宋_GB2312" w:hAnsi="宋体" w:eastAsia="仿宋_GB2312"/>
          <w:sz w:val="32"/>
          <w:szCs w:val="32"/>
        </w:rPr>
      </w:pPr>
      <w:r>
        <w:rPr>
          <w:rFonts w:hint="eastAsia" w:ascii="仿宋_GB2312" w:hAnsi="宋体" w:eastAsia="仿宋_GB2312"/>
          <w:sz w:val="32"/>
          <w:szCs w:val="32"/>
        </w:rPr>
        <w:t>附件：1、投资者基本信息表</w:t>
      </w:r>
    </w:p>
    <w:p>
      <w:pPr>
        <w:jc w:val="left"/>
        <w:rPr>
          <w:rFonts w:ascii="仿宋_GB2312" w:hAnsi="宋体" w:eastAsia="仿宋_GB2312"/>
          <w:sz w:val="32"/>
          <w:szCs w:val="32"/>
        </w:rPr>
      </w:pPr>
      <w:r>
        <w:rPr>
          <w:rFonts w:hint="eastAsia" w:ascii="仿宋_GB2312" w:hAnsi="宋体" w:eastAsia="仿宋_GB2312"/>
          <w:sz w:val="32"/>
          <w:szCs w:val="32"/>
        </w:rPr>
        <w:t xml:space="preserve">      2、专业投资者申请书</w:t>
      </w:r>
    </w:p>
    <w:p>
      <w:pPr>
        <w:spacing w:line="240" w:lineRule="atLeast"/>
        <w:jc w:val="left"/>
        <w:rPr>
          <w:rFonts w:hint="eastAsia" w:ascii="仿宋_GB2312" w:hAnsi="宋体" w:eastAsia="仿宋_GB2312"/>
          <w:sz w:val="32"/>
          <w:szCs w:val="32"/>
        </w:rPr>
      </w:pPr>
      <w:r>
        <w:rPr>
          <w:rFonts w:hint="eastAsia" w:ascii="仿宋_GB2312" w:hAnsi="宋体" w:eastAsia="仿宋_GB2312"/>
          <w:sz w:val="32"/>
          <w:szCs w:val="32"/>
        </w:rPr>
        <w:t xml:space="preserve">      3、专业投资者告知及确认书</w:t>
      </w:r>
    </w:p>
    <w:p>
      <w:pPr>
        <w:spacing w:line="240" w:lineRule="atLeast"/>
        <w:jc w:val="left"/>
        <w:rPr>
          <w:rFonts w:hint="eastAsia" w:ascii="仿宋_GB2312" w:hAnsi="宋体" w:eastAsia="仿宋_GB2312"/>
          <w:sz w:val="32"/>
          <w:szCs w:val="32"/>
        </w:rPr>
      </w:pPr>
      <w:r>
        <w:rPr>
          <w:rFonts w:hint="eastAsia" w:ascii="仿宋_GB2312" w:hAnsi="宋体" w:eastAsia="仿宋_GB2312"/>
          <w:sz w:val="32"/>
          <w:szCs w:val="32"/>
        </w:rPr>
        <w:t xml:space="preserve">      4、投资者风险承受能力评估问卷</w:t>
      </w:r>
    </w:p>
    <w:p>
      <w:pPr>
        <w:ind w:firstLine="640"/>
        <w:jc w:val="left"/>
        <w:rPr>
          <w:rFonts w:hint="eastAsia" w:ascii="仿宋_GB2312" w:hAnsi="宋体" w:eastAsia="仿宋_GB2312"/>
          <w:sz w:val="32"/>
          <w:szCs w:val="32"/>
        </w:rPr>
      </w:pPr>
      <w:r>
        <w:rPr>
          <w:rFonts w:hint="eastAsia" w:ascii="仿宋_GB2312" w:hAnsi="宋体" w:eastAsia="仿宋_GB2312"/>
          <w:sz w:val="32"/>
          <w:szCs w:val="32"/>
        </w:rPr>
        <w:t xml:space="preserve">  5、投资者风险承受能力评估结果告知书</w:t>
      </w:r>
    </w:p>
    <w:p>
      <w:pPr>
        <w:jc w:val="left"/>
        <w:rPr>
          <w:rFonts w:hint="eastAsia" w:ascii="仿宋_GB2312" w:hAnsi="宋体" w:eastAsia="仿宋_GB2312"/>
          <w:sz w:val="32"/>
          <w:szCs w:val="32"/>
        </w:rPr>
      </w:pPr>
      <w:r>
        <w:rPr>
          <w:rFonts w:hint="eastAsia" w:ascii="仿宋_GB2312" w:hAnsi="宋体" w:eastAsia="仿宋_GB2312"/>
          <w:sz w:val="32"/>
          <w:szCs w:val="32"/>
        </w:rPr>
        <w:t xml:space="preserve">      6、</w:t>
      </w:r>
      <w:r>
        <w:rPr>
          <w:rFonts w:ascii="仿宋_GB2312" w:hAnsi="宋体" w:eastAsia="仿宋_GB2312"/>
          <w:sz w:val="32"/>
          <w:szCs w:val="32"/>
        </w:rPr>
        <w:t>产品或服务风险等级名录</w:t>
      </w:r>
    </w:p>
    <w:p>
      <w:pPr>
        <w:jc w:val="left"/>
        <w:rPr>
          <w:rFonts w:hint="eastAsia" w:ascii="仿宋_GB2312" w:hAnsi="宋体" w:eastAsia="仿宋_GB2312"/>
          <w:sz w:val="32"/>
          <w:szCs w:val="32"/>
        </w:rPr>
      </w:pPr>
      <w:r>
        <w:rPr>
          <w:rFonts w:hint="eastAsia" w:ascii="仿宋_GB2312" w:hAnsi="宋体" w:eastAsia="仿宋_GB2312"/>
          <w:sz w:val="32"/>
          <w:szCs w:val="32"/>
        </w:rPr>
        <w:t xml:space="preserve">      7、适当性匹配意见确认书</w:t>
      </w:r>
    </w:p>
    <w:p>
      <w:pPr>
        <w:rPr>
          <w:rFonts w:ascii="仿宋_GB2312" w:hAnsi="宋体" w:eastAsia="仿宋_GB2312"/>
          <w:sz w:val="32"/>
          <w:szCs w:val="32"/>
        </w:rPr>
      </w:pPr>
      <w:r>
        <w:rPr>
          <w:rFonts w:hint="eastAsia" w:ascii="仿宋_GB2312" w:hAnsi="宋体" w:eastAsia="仿宋_GB2312"/>
          <w:sz w:val="32"/>
          <w:szCs w:val="32"/>
        </w:rPr>
        <w:t xml:space="preserve">      8、产品或服务风险警示及投资者确认书</w:t>
      </w:r>
    </w:p>
    <w:p>
      <w:pPr>
        <w:jc w:val="left"/>
        <w:rPr>
          <w:rFonts w:ascii="宋体" w:hAnsi="宋体"/>
          <w:b/>
          <w:sz w:val="24"/>
        </w:rPr>
      </w:pPr>
      <w:r>
        <w:rPr>
          <w:rFonts w:hint="eastAsia" w:ascii="仿宋_GB2312" w:hAnsi="宋体" w:eastAsia="仿宋_GB2312"/>
          <w:sz w:val="32"/>
          <w:szCs w:val="32"/>
        </w:rPr>
        <w:br w:type="page"/>
      </w:r>
      <w:r>
        <w:rPr>
          <w:rFonts w:hint="eastAsia" w:ascii="宋体" w:hAnsi="宋体"/>
          <w:b/>
          <w:sz w:val="24"/>
        </w:rPr>
        <w:t>附件1：</w:t>
      </w:r>
    </w:p>
    <w:p>
      <w:pPr>
        <w:spacing w:line="240" w:lineRule="atLeast"/>
        <w:jc w:val="center"/>
        <w:rPr>
          <w:rFonts w:ascii="宋体" w:hAnsi="宋体"/>
          <w:b/>
          <w:sz w:val="24"/>
        </w:rPr>
      </w:pPr>
      <w:r>
        <w:rPr>
          <w:rFonts w:hint="eastAsia" w:ascii="宋体" w:hAnsi="宋体"/>
          <w:b/>
          <w:sz w:val="24"/>
        </w:rPr>
        <w:t>投资者基本信息表（自然人）</w:t>
      </w:r>
    </w:p>
    <w:p>
      <w:pPr>
        <w:spacing w:line="240" w:lineRule="atLeast"/>
        <w:rPr>
          <w:rFonts w:ascii="宋体" w:hAnsi="宋体"/>
          <w:sz w:val="24"/>
        </w:rPr>
      </w:pPr>
      <w:r>
        <w:rPr>
          <w:rFonts w:hint="eastAsia" w:ascii="宋体" w:hAnsi="宋体"/>
          <w:sz w:val="24"/>
        </w:rPr>
        <w:t>填表日期：      年     月      日                       资金账号：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894"/>
        <w:gridCol w:w="881"/>
        <w:gridCol w:w="739"/>
        <w:gridCol w:w="906"/>
        <w:gridCol w:w="720"/>
        <w:gridCol w:w="894"/>
        <w:gridCol w:w="6"/>
        <w:gridCol w:w="717"/>
        <w:gridCol w:w="90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671" w:hRule="atLeast"/>
          <w:jc w:val="center"/>
        </w:trPr>
        <w:tc>
          <w:tcPr>
            <w:tcW w:w="9631" w:type="dxa"/>
            <w:gridSpan w:val="11"/>
            <w:noWrap w:val="0"/>
            <w:vAlign w:val="center"/>
          </w:tcPr>
          <w:p>
            <w:pPr>
              <w:spacing w:line="240" w:lineRule="atLeast"/>
              <w:jc w:val="center"/>
              <w:rPr>
                <w:rFonts w:ascii="宋体" w:hAnsi="宋体"/>
                <w:szCs w:val="21"/>
              </w:rPr>
            </w:pPr>
            <w:r>
              <w:rPr>
                <w:rFonts w:hint="eastAsia" w:ascii="宋体" w:hAnsi="宋体"/>
                <w:szCs w:val="21"/>
              </w:rPr>
              <w:t>投资者基本信息（申请人填写）</w:t>
            </w:r>
          </w:p>
        </w:tc>
      </w:tr>
      <w:tr>
        <w:trPr>
          <w:wBefore w:w="0" w:type="dxa"/>
          <w:trHeight w:val="570" w:hRule="atLeast"/>
          <w:jc w:val="center"/>
        </w:trPr>
        <w:tc>
          <w:tcPr>
            <w:tcW w:w="1743" w:type="dxa"/>
            <w:noWrap w:val="0"/>
            <w:vAlign w:val="center"/>
          </w:tcPr>
          <w:p>
            <w:pPr>
              <w:spacing w:line="240" w:lineRule="atLeast"/>
              <w:jc w:val="center"/>
              <w:rPr>
                <w:rFonts w:ascii="宋体" w:hAnsi="宋体"/>
                <w:color w:val="000000"/>
                <w:szCs w:val="21"/>
              </w:rPr>
            </w:pPr>
            <w:r>
              <w:rPr>
                <w:rFonts w:hint="eastAsia" w:ascii="宋体" w:hAnsi="宋体"/>
                <w:color w:val="000000"/>
                <w:szCs w:val="21"/>
              </w:rPr>
              <w:t>姓名</w:t>
            </w:r>
          </w:p>
        </w:tc>
        <w:tc>
          <w:tcPr>
            <w:tcW w:w="1775" w:type="dxa"/>
            <w:gridSpan w:val="2"/>
            <w:noWrap w:val="0"/>
            <w:vAlign w:val="center"/>
          </w:tcPr>
          <w:p>
            <w:pPr>
              <w:spacing w:line="240" w:lineRule="atLeast"/>
              <w:jc w:val="center"/>
              <w:rPr>
                <w:rFonts w:ascii="宋体" w:hAnsi="宋体"/>
                <w:color w:val="000000"/>
                <w:szCs w:val="21"/>
              </w:rPr>
            </w:pPr>
          </w:p>
          <w:p>
            <w:pPr>
              <w:spacing w:line="240" w:lineRule="atLeast"/>
              <w:jc w:val="center"/>
              <w:rPr>
                <w:rFonts w:ascii="宋体" w:hAnsi="宋体"/>
                <w:color w:val="000000"/>
                <w:szCs w:val="21"/>
              </w:rPr>
            </w:pPr>
          </w:p>
        </w:tc>
        <w:tc>
          <w:tcPr>
            <w:tcW w:w="739" w:type="dxa"/>
            <w:noWrap w:val="0"/>
            <w:vAlign w:val="center"/>
          </w:tcPr>
          <w:p>
            <w:pPr>
              <w:spacing w:line="240" w:lineRule="atLeast"/>
              <w:jc w:val="center"/>
              <w:rPr>
                <w:rFonts w:ascii="宋体" w:hAnsi="宋体"/>
                <w:color w:val="000000"/>
                <w:szCs w:val="21"/>
              </w:rPr>
            </w:pPr>
            <w:r>
              <w:rPr>
                <w:rFonts w:hint="eastAsia" w:ascii="宋体" w:hAnsi="宋体"/>
                <w:color w:val="000000"/>
                <w:szCs w:val="21"/>
              </w:rPr>
              <w:t>性别</w:t>
            </w:r>
          </w:p>
        </w:tc>
        <w:tc>
          <w:tcPr>
            <w:tcW w:w="906" w:type="dxa"/>
            <w:noWrap w:val="0"/>
            <w:vAlign w:val="center"/>
          </w:tcPr>
          <w:p>
            <w:pPr>
              <w:spacing w:line="240" w:lineRule="atLeast"/>
              <w:jc w:val="center"/>
              <w:rPr>
                <w:rFonts w:ascii="宋体" w:hAnsi="宋体"/>
                <w:color w:val="000000"/>
                <w:szCs w:val="21"/>
              </w:rPr>
            </w:pPr>
          </w:p>
        </w:tc>
        <w:tc>
          <w:tcPr>
            <w:tcW w:w="720" w:type="dxa"/>
            <w:noWrap w:val="0"/>
            <w:vAlign w:val="center"/>
          </w:tcPr>
          <w:p>
            <w:pPr>
              <w:spacing w:line="240" w:lineRule="atLeast"/>
              <w:jc w:val="center"/>
              <w:rPr>
                <w:rFonts w:ascii="宋体" w:hAnsi="宋体"/>
                <w:color w:val="000000"/>
                <w:szCs w:val="21"/>
              </w:rPr>
            </w:pPr>
            <w:r>
              <w:rPr>
                <w:rFonts w:hint="eastAsia" w:ascii="宋体" w:hAnsi="宋体"/>
                <w:color w:val="000000"/>
                <w:szCs w:val="21"/>
              </w:rPr>
              <w:t>出生日期</w:t>
            </w:r>
          </w:p>
        </w:tc>
        <w:tc>
          <w:tcPr>
            <w:tcW w:w="1617" w:type="dxa"/>
            <w:gridSpan w:val="3"/>
            <w:noWrap w:val="0"/>
            <w:vAlign w:val="center"/>
          </w:tcPr>
          <w:p>
            <w:pPr>
              <w:spacing w:line="240" w:lineRule="atLeast"/>
              <w:jc w:val="center"/>
              <w:rPr>
                <w:rFonts w:ascii="宋体" w:hAnsi="宋体"/>
                <w:color w:val="000000"/>
                <w:szCs w:val="21"/>
              </w:rPr>
            </w:pPr>
          </w:p>
        </w:tc>
        <w:tc>
          <w:tcPr>
            <w:tcW w:w="900" w:type="dxa"/>
            <w:noWrap w:val="0"/>
            <w:vAlign w:val="center"/>
          </w:tcPr>
          <w:p>
            <w:pPr>
              <w:spacing w:line="240" w:lineRule="atLeast"/>
              <w:jc w:val="center"/>
              <w:rPr>
                <w:rFonts w:ascii="宋体" w:hAnsi="宋体"/>
                <w:color w:val="000000"/>
                <w:szCs w:val="21"/>
              </w:rPr>
            </w:pPr>
            <w:r>
              <w:rPr>
                <w:rFonts w:hint="eastAsia" w:ascii="宋体" w:hAnsi="宋体"/>
                <w:color w:val="000000"/>
                <w:szCs w:val="21"/>
              </w:rPr>
              <w:t>国籍</w:t>
            </w:r>
          </w:p>
        </w:tc>
        <w:tc>
          <w:tcPr>
            <w:tcW w:w="1231" w:type="dxa"/>
            <w:noWrap w:val="0"/>
            <w:vAlign w:val="center"/>
          </w:tcPr>
          <w:p>
            <w:pPr>
              <w:spacing w:line="240" w:lineRule="atLeas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00" w:hRule="atLeast"/>
          <w:jc w:val="center"/>
        </w:trPr>
        <w:tc>
          <w:tcPr>
            <w:tcW w:w="2637" w:type="dxa"/>
            <w:gridSpan w:val="2"/>
            <w:noWrap w:val="0"/>
            <w:vAlign w:val="top"/>
          </w:tcPr>
          <w:p>
            <w:pPr>
              <w:spacing w:line="240" w:lineRule="atLeast"/>
              <w:jc w:val="center"/>
              <w:rPr>
                <w:rFonts w:ascii="宋体" w:hAnsi="宋体"/>
                <w:szCs w:val="21"/>
              </w:rPr>
            </w:pPr>
            <w:r>
              <w:rPr>
                <w:rFonts w:hint="eastAsia" w:ascii="宋体" w:hAnsi="宋体"/>
                <w:szCs w:val="21"/>
              </w:rPr>
              <w:t>实际控制投资者的自然人</w:t>
            </w:r>
          </w:p>
        </w:tc>
        <w:tc>
          <w:tcPr>
            <w:tcW w:w="2526" w:type="dxa"/>
            <w:gridSpan w:val="3"/>
            <w:noWrap w:val="0"/>
            <w:vAlign w:val="top"/>
          </w:tcPr>
          <w:p>
            <w:pPr>
              <w:spacing w:line="240" w:lineRule="atLeast"/>
              <w:rPr>
                <w:rFonts w:ascii="宋体" w:hAnsi="宋体"/>
                <w:szCs w:val="21"/>
              </w:rPr>
            </w:pPr>
          </w:p>
        </w:tc>
        <w:tc>
          <w:tcPr>
            <w:tcW w:w="2337" w:type="dxa"/>
            <w:gridSpan w:val="4"/>
            <w:noWrap w:val="0"/>
            <w:vAlign w:val="top"/>
          </w:tcPr>
          <w:p>
            <w:pPr>
              <w:spacing w:line="240" w:lineRule="atLeast"/>
              <w:jc w:val="center"/>
              <w:rPr>
                <w:rFonts w:ascii="宋体" w:hAnsi="宋体"/>
                <w:szCs w:val="21"/>
              </w:rPr>
            </w:pPr>
            <w:r>
              <w:rPr>
                <w:rFonts w:hint="eastAsia" w:ascii="宋体" w:hAnsi="宋体"/>
                <w:szCs w:val="21"/>
              </w:rPr>
              <w:t>交易的实际受益人</w:t>
            </w:r>
          </w:p>
        </w:tc>
        <w:tc>
          <w:tcPr>
            <w:tcW w:w="2131" w:type="dxa"/>
            <w:gridSpan w:val="2"/>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35" w:hRule="atLeast"/>
          <w:jc w:val="center"/>
        </w:trPr>
        <w:tc>
          <w:tcPr>
            <w:tcW w:w="1743" w:type="dxa"/>
            <w:noWrap w:val="0"/>
            <w:vAlign w:val="center"/>
          </w:tcPr>
          <w:p>
            <w:pPr>
              <w:spacing w:line="240" w:lineRule="atLeast"/>
              <w:jc w:val="center"/>
              <w:rPr>
                <w:rFonts w:ascii="宋体" w:hAnsi="宋体"/>
                <w:szCs w:val="21"/>
              </w:rPr>
            </w:pPr>
            <w:r>
              <w:rPr>
                <w:rFonts w:hint="eastAsia" w:ascii="宋体" w:hAnsi="宋体"/>
                <w:szCs w:val="21"/>
              </w:rPr>
              <w:t>职业</w:t>
            </w:r>
          </w:p>
        </w:tc>
        <w:tc>
          <w:tcPr>
            <w:tcW w:w="7888" w:type="dxa"/>
            <w:gridSpan w:val="10"/>
            <w:noWrap w:val="0"/>
            <w:vAlign w:val="top"/>
          </w:tcPr>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□党政机关工作人员   □企事业单位职工  □农民   □个体工商户 □注册会计师 □ 律师□学生    □金融机构从业人员    □金融机构高级管理人员    □无业   □其他，</w:t>
            </w:r>
            <w:r>
              <w:rPr>
                <w:rFonts w:hint="eastAsia" w:ascii="宋体" w:hAnsi="宋体"/>
                <w:sz w:val="24"/>
                <w:u w:val="single"/>
              </w:rPr>
              <w:t xml:space="preserve">         </w:t>
            </w:r>
          </w:p>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01" w:hRule="atLeast"/>
          <w:jc w:val="center"/>
        </w:trPr>
        <w:tc>
          <w:tcPr>
            <w:tcW w:w="1743" w:type="dxa"/>
            <w:noWrap w:val="0"/>
            <w:vAlign w:val="center"/>
          </w:tcPr>
          <w:p>
            <w:pPr>
              <w:spacing w:line="240" w:lineRule="atLeast"/>
              <w:jc w:val="center"/>
              <w:rPr>
                <w:rFonts w:ascii="宋体" w:hAnsi="宋体"/>
                <w:szCs w:val="21"/>
              </w:rPr>
            </w:pPr>
            <w:r>
              <w:rPr>
                <w:rFonts w:hint="eastAsia" w:ascii="宋体" w:hAnsi="宋体"/>
                <w:szCs w:val="21"/>
              </w:rPr>
              <w:t>工作单位</w:t>
            </w:r>
          </w:p>
        </w:tc>
        <w:tc>
          <w:tcPr>
            <w:tcW w:w="5040" w:type="dxa"/>
            <w:gridSpan w:val="7"/>
            <w:noWrap w:val="0"/>
            <w:vAlign w:val="top"/>
          </w:tcPr>
          <w:p>
            <w:pPr>
              <w:spacing w:line="240" w:lineRule="atLeast"/>
              <w:rPr>
                <w:rFonts w:ascii="宋体" w:hAnsi="宋体"/>
                <w:szCs w:val="21"/>
              </w:rPr>
            </w:pPr>
          </w:p>
          <w:p>
            <w:pPr>
              <w:spacing w:line="240" w:lineRule="atLeast"/>
              <w:rPr>
                <w:rFonts w:ascii="宋体" w:hAnsi="宋体"/>
                <w:szCs w:val="21"/>
              </w:rPr>
            </w:pPr>
          </w:p>
        </w:tc>
        <w:tc>
          <w:tcPr>
            <w:tcW w:w="717" w:type="dxa"/>
            <w:noWrap w:val="0"/>
            <w:vAlign w:val="center"/>
          </w:tcPr>
          <w:p>
            <w:pPr>
              <w:spacing w:line="240" w:lineRule="atLeast"/>
              <w:jc w:val="center"/>
              <w:rPr>
                <w:rFonts w:ascii="宋体" w:hAnsi="宋体"/>
                <w:szCs w:val="21"/>
              </w:rPr>
            </w:pPr>
            <w:r>
              <w:rPr>
                <w:rFonts w:hint="eastAsia" w:ascii="宋体" w:hAnsi="宋体"/>
                <w:szCs w:val="21"/>
              </w:rPr>
              <w:t>职务</w:t>
            </w:r>
          </w:p>
        </w:tc>
        <w:tc>
          <w:tcPr>
            <w:tcW w:w="2131" w:type="dxa"/>
            <w:gridSpan w:val="2"/>
            <w:noWrap w:val="0"/>
            <w:vAlign w:val="top"/>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845" w:hRule="atLeast"/>
          <w:jc w:val="center"/>
        </w:trPr>
        <w:tc>
          <w:tcPr>
            <w:tcW w:w="1743" w:type="dxa"/>
            <w:noWrap w:val="0"/>
            <w:vAlign w:val="center"/>
          </w:tcPr>
          <w:p>
            <w:pPr>
              <w:spacing w:line="240" w:lineRule="atLeast"/>
              <w:jc w:val="center"/>
              <w:rPr>
                <w:rFonts w:ascii="宋体" w:hAnsi="宋体"/>
                <w:szCs w:val="21"/>
              </w:rPr>
            </w:pPr>
            <w:r>
              <w:rPr>
                <w:rFonts w:hint="eastAsia" w:ascii="宋体" w:hAnsi="宋体"/>
                <w:szCs w:val="21"/>
              </w:rPr>
              <w:t>学历</w:t>
            </w:r>
          </w:p>
        </w:tc>
        <w:tc>
          <w:tcPr>
            <w:tcW w:w="7888" w:type="dxa"/>
            <w:gridSpan w:val="10"/>
            <w:noWrap w:val="0"/>
            <w:vAlign w:val="center"/>
          </w:tcPr>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□博士　  □硕士　  □大本　  □大专　  </w:t>
            </w:r>
          </w:p>
          <w:p>
            <w:pPr>
              <w:spacing w:line="240" w:lineRule="atLeast"/>
              <w:rPr>
                <w:rFonts w:ascii="宋体" w:hAnsi="宋体"/>
                <w:szCs w:val="21"/>
              </w:rPr>
            </w:pPr>
            <w:r>
              <w:rPr>
                <w:rFonts w:hint="eastAsia" w:ascii="宋体" w:hAnsi="宋体"/>
                <w:szCs w:val="21"/>
              </w:rPr>
              <w:t>□中专　□高中　  □初中及以下</w:t>
            </w:r>
          </w:p>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845" w:hRule="atLeast"/>
          <w:jc w:val="center"/>
        </w:trPr>
        <w:tc>
          <w:tcPr>
            <w:tcW w:w="1743" w:type="dxa"/>
            <w:noWrap w:val="0"/>
            <w:vAlign w:val="center"/>
          </w:tcPr>
          <w:p>
            <w:pPr>
              <w:spacing w:line="240" w:lineRule="atLeast"/>
              <w:jc w:val="center"/>
              <w:rPr>
                <w:rFonts w:ascii="宋体" w:hAnsi="宋体"/>
                <w:szCs w:val="21"/>
              </w:rPr>
            </w:pPr>
            <w:r>
              <w:rPr>
                <w:rFonts w:hint="eastAsia" w:ascii="宋体" w:hAnsi="宋体"/>
                <w:szCs w:val="21"/>
              </w:rPr>
              <w:t>诚信记录</w:t>
            </w:r>
          </w:p>
        </w:tc>
        <w:tc>
          <w:tcPr>
            <w:tcW w:w="7888" w:type="dxa"/>
            <w:gridSpan w:val="10"/>
            <w:noWrap w:val="0"/>
            <w:vAlign w:val="center"/>
          </w:tcPr>
          <w:p>
            <w:pPr>
              <w:spacing w:line="240" w:lineRule="atLeast"/>
              <w:rPr>
                <w:rFonts w:ascii="宋体" w:hAnsi="宋体"/>
                <w:szCs w:val="21"/>
              </w:rPr>
            </w:pPr>
            <w:r>
              <w:rPr>
                <w:rFonts w:hint="eastAsia" w:ascii="宋体" w:hAnsi="宋体"/>
                <w:szCs w:val="21"/>
              </w:rPr>
              <w:t>是否有以下来源的不良诚信记录？</w:t>
            </w:r>
          </w:p>
          <w:p>
            <w:pPr>
              <w:spacing w:line="240" w:lineRule="atLeast"/>
              <w:rPr>
                <w:rFonts w:ascii="宋体" w:hAnsi="宋体"/>
                <w:szCs w:val="21"/>
              </w:rPr>
            </w:pPr>
            <w:r>
              <w:rPr>
                <w:rFonts w:hint="eastAsia" w:ascii="宋体" w:hAnsi="宋体"/>
                <w:szCs w:val="21"/>
              </w:rPr>
              <w:t>□中国人民银行征信中心 □最高人民法院失信被执行人名单 □工商行政管理机构 □税务管理机构 □监管机构、自律组织 □投资者在证券经营机构的失信记录 □其他，</w:t>
            </w:r>
            <w:r>
              <w:rPr>
                <w:rFonts w:hint="eastAsia" w:ascii="宋体" w:hAnsi="宋体"/>
                <w:sz w:val="24"/>
                <w:u w:val="single"/>
              </w:rPr>
              <w:t xml:space="preserve">         </w:t>
            </w:r>
          </w:p>
          <w:p>
            <w:pPr>
              <w:spacing w:line="240" w:lineRule="atLeast"/>
              <w:rPr>
                <w:rFonts w:ascii="宋体" w:hAnsi="宋体"/>
                <w:szCs w:val="21"/>
              </w:rPr>
            </w:pPr>
            <w:r>
              <w:rPr>
                <w:rFonts w:hint="eastAsia" w:ascii="宋体" w:hAnsi="宋体"/>
                <w:szCs w:val="21"/>
              </w:rPr>
              <w:t>□无    □有（请注明）：___________________________________</w:t>
            </w:r>
          </w:p>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743" w:type="dxa"/>
            <w:noWrap w:val="0"/>
            <w:vAlign w:val="top"/>
          </w:tcPr>
          <w:p>
            <w:pPr>
              <w:spacing w:line="240" w:lineRule="atLeast"/>
              <w:ind w:firstLine="105" w:firstLineChars="50"/>
              <w:rPr>
                <w:rFonts w:ascii="宋体" w:hAnsi="宋体"/>
                <w:color w:val="000000"/>
                <w:szCs w:val="21"/>
              </w:rPr>
            </w:pPr>
            <w:r>
              <w:rPr>
                <w:rFonts w:hint="eastAsia" w:ascii="宋体" w:hAnsi="宋体"/>
                <w:color w:val="000000"/>
                <w:szCs w:val="21"/>
              </w:rPr>
              <w:t>身份证件类型</w:t>
            </w:r>
          </w:p>
        </w:tc>
        <w:tc>
          <w:tcPr>
            <w:tcW w:w="3420" w:type="dxa"/>
            <w:gridSpan w:val="4"/>
            <w:noWrap w:val="0"/>
            <w:vAlign w:val="top"/>
          </w:tcPr>
          <w:p>
            <w:pPr>
              <w:spacing w:line="240" w:lineRule="atLeast"/>
              <w:rPr>
                <w:rFonts w:ascii="宋体" w:hAnsi="宋体"/>
                <w:color w:val="000000"/>
                <w:szCs w:val="21"/>
              </w:rPr>
            </w:pPr>
          </w:p>
        </w:tc>
        <w:tc>
          <w:tcPr>
            <w:tcW w:w="1614" w:type="dxa"/>
            <w:gridSpan w:val="2"/>
            <w:noWrap w:val="0"/>
            <w:vAlign w:val="center"/>
          </w:tcPr>
          <w:p>
            <w:pPr>
              <w:spacing w:line="240" w:lineRule="atLeast"/>
              <w:jc w:val="center"/>
              <w:rPr>
                <w:rFonts w:ascii="宋体" w:hAnsi="宋体"/>
                <w:color w:val="000000"/>
                <w:szCs w:val="21"/>
              </w:rPr>
            </w:pPr>
            <w:r>
              <w:rPr>
                <w:rFonts w:hint="eastAsia" w:ascii="宋体" w:hAnsi="宋体"/>
                <w:color w:val="000000"/>
                <w:szCs w:val="21"/>
              </w:rPr>
              <w:t>身份证件号码</w:t>
            </w:r>
          </w:p>
        </w:tc>
        <w:tc>
          <w:tcPr>
            <w:tcW w:w="2854" w:type="dxa"/>
            <w:gridSpan w:val="4"/>
            <w:noWrap w:val="0"/>
            <w:vAlign w:val="top"/>
          </w:tcPr>
          <w:p>
            <w:pPr>
              <w:spacing w:line="240" w:lineRule="atLeas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743" w:type="dxa"/>
            <w:noWrap w:val="0"/>
            <w:vAlign w:val="top"/>
          </w:tcPr>
          <w:p>
            <w:pPr>
              <w:spacing w:line="240" w:lineRule="atLeast"/>
              <w:jc w:val="center"/>
              <w:rPr>
                <w:rFonts w:ascii="宋体" w:hAnsi="宋体"/>
                <w:color w:val="000000"/>
                <w:szCs w:val="21"/>
              </w:rPr>
            </w:pPr>
            <w:r>
              <w:rPr>
                <w:rFonts w:hint="eastAsia" w:ascii="宋体" w:hAnsi="宋体"/>
                <w:color w:val="000000"/>
                <w:szCs w:val="21"/>
              </w:rPr>
              <w:t>身份证件</w:t>
            </w:r>
          </w:p>
          <w:p>
            <w:pPr>
              <w:spacing w:line="240" w:lineRule="atLeast"/>
              <w:jc w:val="center"/>
              <w:rPr>
                <w:rFonts w:ascii="宋体" w:hAnsi="宋体"/>
                <w:color w:val="000000"/>
                <w:szCs w:val="21"/>
              </w:rPr>
            </w:pPr>
            <w:r>
              <w:rPr>
                <w:rFonts w:hint="eastAsia" w:ascii="宋体" w:hAnsi="宋体"/>
                <w:color w:val="000000"/>
                <w:szCs w:val="21"/>
              </w:rPr>
              <w:t>有效期限</w:t>
            </w:r>
          </w:p>
        </w:tc>
        <w:tc>
          <w:tcPr>
            <w:tcW w:w="7888" w:type="dxa"/>
            <w:gridSpan w:val="10"/>
            <w:noWrap w:val="0"/>
            <w:vAlign w:val="top"/>
          </w:tcPr>
          <w:p>
            <w:pPr>
              <w:spacing w:line="240" w:lineRule="atLeas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743" w:type="dxa"/>
            <w:noWrap w:val="0"/>
            <w:vAlign w:val="top"/>
          </w:tcPr>
          <w:p>
            <w:pPr>
              <w:spacing w:line="240" w:lineRule="atLeast"/>
              <w:jc w:val="center"/>
              <w:rPr>
                <w:rFonts w:ascii="宋体" w:hAnsi="宋体"/>
                <w:szCs w:val="21"/>
              </w:rPr>
            </w:pPr>
          </w:p>
          <w:p>
            <w:pPr>
              <w:spacing w:line="240" w:lineRule="atLeast"/>
              <w:jc w:val="center"/>
              <w:rPr>
                <w:rFonts w:ascii="宋体" w:hAnsi="宋体"/>
                <w:szCs w:val="21"/>
              </w:rPr>
            </w:pPr>
            <w:r>
              <w:rPr>
                <w:rFonts w:hint="eastAsia" w:ascii="宋体" w:hAnsi="宋体"/>
                <w:szCs w:val="21"/>
              </w:rPr>
              <w:t>固定电话</w:t>
            </w:r>
          </w:p>
          <w:p>
            <w:pPr>
              <w:spacing w:line="240" w:lineRule="atLeast"/>
              <w:jc w:val="center"/>
              <w:rPr>
                <w:rFonts w:ascii="宋体" w:hAnsi="宋体"/>
                <w:szCs w:val="21"/>
              </w:rPr>
            </w:pPr>
          </w:p>
        </w:tc>
        <w:tc>
          <w:tcPr>
            <w:tcW w:w="3420" w:type="dxa"/>
            <w:gridSpan w:val="4"/>
            <w:noWrap w:val="0"/>
            <w:vAlign w:val="top"/>
          </w:tcPr>
          <w:p>
            <w:pPr>
              <w:spacing w:line="240" w:lineRule="atLeast"/>
              <w:jc w:val="center"/>
              <w:rPr>
                <w:rFonts w:ascii="宋体" w:hAnsi="宋体"/>
                <w:szCs w:val="21"/>
              </w:rPr>
            </w:pPr>
          </w:p>
        </w:tc>
        <w:tc>
          <w:tcPr>
            <w:tcW w:w="1614" w:type="dxa"/>
            <w:gridSpan w:val="2"/>
            <w:noWrap w:val="0"/>
            <w:vAlign w:val="top"/>
          </w:tcPr>
          <w:p>
            <w:pPr>
              <w:spacing w:line="240" w:lineRule="atLeast"/>
              <w:jc w:val="center"/>
              <w:rPr>
                <w:rFonts w:ascii="宋体" w:hAnsi="宋体"/>
                <w:szCs w:val="21"/>
              </w:rPr>
            </w:pPr>
          </w:p>
          <w:p>
            <w:pPr>
              <w:spacing w:line="240" w:lineRule="atLeast"/>
              <w:jc w:val="center"/>
              <w:rPr>
                <w:rFonts w:ascii="宋体" w:hAnsi="宋体"/>
                <w:szCs w:val="21"/>
              </w:rPr>
            </w:pPr>
            <w:r>
              <w:rPr>
                <w:rFonts w:hint="eastAsia" w:ascii="宋体" w:hAnsi="宋体"/>
                <w:szCs w:val="21"/>
              </w:rPr>
              <w:t>手机号码</w:t>
            </w:r>
          </w:p>
        </w:tc>
        <w:tc>
          <w:tcPr>
            <w:tcW w:w="2854" w:type="dxa"/>
            <w:gridSpan w:val="4"/>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743" w:type="dxa"/>
            <w:noWrap w:val="0"/>
            <w:vAlign w:val="center"/>
          </w:tcPr>
          <w:p>
            <w:pPr>
              <w:spacing w:line="240" w:lineRule="atLeast"/>
              <w:jc w:val="center"/>
              <w:rPr>
                <w:rFonts w:ascii="宋体" w:hAnsi="宋体"/>
                <w:szCs w:val="21"/>
              </w:rPr>
            </w:pPr>
            <w:r>
              <w:rPr>
                <w:rFonts w:hint="eastAsia" w:ascii="宋体" w:hAnsi="宋体"/>
                <w:szCs w:val="21"/>
              </w:rPr>
              <w:t>联系地址</w:t>
            </w:r>
          </w:p>
        </w:tc>
        <w:tc>
          <w:tcPr>
            <w:tcW w:w="7888" w:type="dxa"/>
            <w:gridSpan w:val="10"/>
            <w:noWrap w:val="0"/>
            <w:vAlign w:val="top"/>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743" w:type="dxa"/>
            <w:noWrap w:val="0"/>
            <w:vAlign w:val="top"/>
          </w:tcPr>
          <w:p>
            <w:pPr>
              <w:spacing w:line="240" w:lineRule="atLeast"/>
              <w:jc w:val="center"/>
              <w:rPr>
                <w:rFonts w:ascii="宋体" w:hAnsi="宋体"/>
                <w:szCs w:val="21"/>
              </w:rPr>
            </w:pPr>
          </w:p>
          <w:p>
            <w:pPr>
              <w:spacing w:line="240" w:lineRule="atLeast"/>
              <w:jc w:val="center"/>
              <w:rPr>
                <w:rFonts w:ascii="宋体" w:hAnsi="宋体"/>
                <w:szCs w:val="21"/>
              </w:rPr>
            </w:pPr>
            <w:r>
              <w:rPr>
                <w:rFonts w:hint="eastAsia" w:ascii="宋体" w:hAnsi="宋体"/>
                <w:szCs w:val="21"/>
              </w:rPr>
              <w:t>邮政编码</w:t>
            </w:r>
          </w:p>
        </w:tc>
        <w:tc>
          <w:tcPr>
            <w:tcW w:w="3420" w:type="dxa"/>
            <w:gridSpan w:val="4"/>
            <w:noWrap w:val="0"/>
            <w:vAlign w:val="top"/>
          </w:tcPr>
          <w:p>
            <w:pPr>
              <w:spacing w:line="240" w:lineRule="atLeast"/>
              <w:rPr>
                <w:rFonts w:ascii="宋体" w:hAnsi="宋体"/>
                <w:szCs w:val="21"/>
              </w:rPr>
            </w:pPr>
          </w:p>
        </w:tc>
        <w:tc>
          <w:tcPr>
            <w:tcW w:w="1614" w:type="dxa"/>
            <w:gridSpan w:val="2"/>
            <w:noWrap w:val="0"/>
            <w:vAlign w:val="top"/>
          </w:tcPr>
          <w:p>
            <w:pPr>
              <w:spacing w:line="240" w:lineRule="atLeast"/>
              <w:jc w:val="center"/>
              <w:rPr>
                <w:rFonts w:ascii="宋体" w:hAnsi="宋体"/>
                <w:szCs w:val="21"/>
              </w:rPr>
            </w:pPr>
          </w:p>
          <w:p>
            <w:pPr>
              <w:spacing w:line="240" w:lineRule="atLeast"/>
              <w:jc w:val="center"/>
              <w:rPr>
                <w:rFonts w:ascii="宋体" w:hAnsi="宋体"/>
                <w:szCs w:val="21"/>
              </w:rPr>
            </w:pPr>
            <w:r>
              <w:rPr>
                <w:rFonts w:hint="eastAsia" w:ascii="宋体" w:hAnsi="宋体"/>
                <w:szCs w:val="21"/>
              </w:rPr>
              <w:t>Email</w:t>
            </w:r>
          </w:p>
          <w:p>
            <w:pPr>
              <w:spacing w:line="240" w:lineRule="atLeast"/>
              <w:rPr>
                <w:rFonts w:ascii="宋体" w:hAnsi="宋体"/>
                <w:szCs w:val="21"/>
              </w:rPr>
            </w:pPr>
          </w:p>
        </w:tc>
        <w:tc>
          <w:tcPr>
            <w:tcW w:w="2854" w:type="dxa"/>
            <w:gridSpan w:val="4"/>
            <w:noWrap w:val="0"/>
            <w:vAlign w:val="top"/>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9631" w:type="dxa"/>
            <w:gridSpan w:val="11"/>
            <w:noWrap w:val="0"/>
            <w:vAlign w:val="top"/>
          </w:tcPr>
          <w:p>
            <w:pPr>
              <w:spacing w:line="240" w:lineRule="atLeast"/>
              <w:rPr>
                <w:rFonts w:ascii="宋体" w:hAnsi="宋体"/>
                <w:szCs w:val="21"/>
              </w:rPr>
            </w:pPr>
            <w:r>
              <w:rPr>
                <w:rFonts w:hint="eastAsia" w:ascii="宋体" w:hAnsi="宋体"/>
                <w:szCs w:val="21"/>
              </w:rPr>
              <w:t>本人保证资金来源的合法性和所提供资料的真实性、准确性、完整性，并对其承担责任。</w:t>
            </w: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申请人签名：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57" w:hRule="atLeast"/>
          <w:jc w:val="center"/>
        </w:trPr>
        <w:tc>
          <w:tcPr>
            <w:tcW w:w="9631" w:type="dxa"/>
            <w:gridSpan w:val="11"/>
            <w:noWrap w:val="0"/>
            <w:vAlign w:val="top"/>
          </w:tcPr>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经办人签章：                 复核人签章：             营业网点盖章：</w:t>
            </w:r>
          </w:p>
          <w:p>
            <w:pPr>
              <w:spacing w:line="240" w:lineRule="atLeast"/>
              <w:rPr>
                <w:rFonts w:ascii="宋体" w:hAnsi="宋体"/>
                <w:szCs w:val="21"/>
              </w:rPr>
            </w:pPr>
            <w:r>
              <w:rPr>
                <w:rFonts w:hint="eastAsia" w:ascii="宋体" w:hAnsi="宋体"/>
                <w:szCs w:val="21"/>
              </w:rPr>
              <w:t xml:space="preserve">事后审核签章：                    </w:t>
            </w:r>
          </w:p>
          <w:p>
            <w:pPr>
              <w:spacing w:line="240" w:lineRule="atLeast"/>
              <w:ind w:firstLine="6195" w:firstLineChars="2950"/>
              <w:rPr>
                <w:rFonts w:ascii="宋体" w:hAnsi="宋体"/>
                <w:szCs w:val="21"/>
              </w:rPr>
            </w:pPr>
            <w:r>
              <w:rPr>
                <w:rFonts w:hint="eastAsia" w:ascii="宋体" w:hAnsi="宋体"/>
                <w:szCs w:val="21"/>
              </w:rPr>
              <w:t>日期：   年  月  日</w:t>
            </w:r>
          </w:p>
        </w:tc>
      </w:tr>
    </w:tbl>
    <w:p>
      <w:pPr>
        <w:spacing w:line="240" w:lineRule="atLeast"/>
        <w:jc w:val="center"/>
        <w:rPr>
          <w:rFonts w:ascii="宋体" w:hAnsi="宋体"/>
          <w:sz w:val="24"/>
        </w:rPr>
      </w:pPr>
      <w:r>
        <w:rPr>
          <w:rFonts w:hint="eastAsia" w:ascii="宋体" w:hAnsi="宋体"/>
          <w:sz w:val="24"/>
        </w:rPr>
        <w:br w:type="page"/>
      </w:r>
      <w:r>
        <w:rPr>
          <w:rFonts w:hint="eastAsia" w:ascii="宋体" w:hAnsi="宋体"/>
          <w:b/>
          <w:sz w:val="24"/>
        </w:rPr>
        <w:t>投资者基本信息表（机构）</w:t>
      </w:r>
    </w:p>
    <w:p>
      <w:pPr>
        <w:spacing w:line="240" w:lineRule="atLeast"/>
        <w:rPr>
          <w:rFonts w:ascii="宋体" w:hAnsi="宋体"/>
          <w:szCs w:val="21"/>
        </w:rPr>
      </w:pPr>
      <w:r>
        <w:rPr>
          <w:rFonts w:hint="eastAsia" w:ascii="宋体" w:hAnsi="宋体"/>
          <w:szCs w:val="21"/>
        </w:rPr>
        <w:t>填表日期：      年     月          日                     资金账号/客户号：</w:t>
      </w:r>
    </w:p>
    <w:tbl>
      <w:tblPr>
        <w:tblStyle w:val="36"/>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847"/>
        <w:gridCol w:w="1386"/>
        <w:gridCol w:w="32"/>
        <w:gridCol w:w="1880"/>
        <w:gridCol w:w="44"/>
        <w:gridCol w:w="1232"/>
        <w:gridCol w:w="1029"/>
        <w:tblGridChange w:id="0">
          <w:tblGrid>
            <w:gridCol w:w="3078"/>
            <w:gridCol w:w="847"/>
            <w:gridCol w:w="1386"/>
            <w:gridCol w:w="32"/>
            <w:gridCol w:w="1880"/>
            <w:gridCol w:w="44"/>
            <w:gridCol w:w="1232"/>
            <w:gridCol w:w="102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72" w:hRule="atLeast"/>
          <w:jc w:val="center"/>
        </w:trPr>
        <w:tc>
          <w:tcPr>
            <w:tcW w:w="9528" w:type="dxa"/>
            <w:gridSpan w:val="8"/>
            <w:noWrap w:val="0"/>
            <w:vAlign w:val="center"/>
          </w:tcPr>
          <w:p>
            <w:pPr>
              <w:spacing w:line="240" w:lineRule="atLeast"/>
              <w:jc w:val="center"/>
              <w:rPr>
                <w:rFonts w:ascii="宋体" w:hAnsi="宋体"/>
                <w:szCs w:val="21"/>
              </w:rPr>
            </w:pPr>
            <w:r>
              <w:rPr>
                <w:rFonts w:hint="eastAsia" w:ascii="宋体" w:hAnsi="宋体"/>
                <w:szCs w:val="21"/>
              </w:rPr>
              <w:t>投资者基本信息（申请人填写）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4" w:hRule="atLeast"/>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机构名称</w:t>
            </w:r>
          </w:p>
        </w:tc>
        <w:tc>
          <w:tcPr>
            <w:tcW w:w="2233" w:type="dxa"/>
            <w:gridSpan w:val="2"/>
            <w:noWrap w:val="0"/>
            <w:vAlign w:val="top"/>
          </w:tcPr>
          <w:p>
            <w:pPr>
              <w:spacing w:line="240" w:lineRule="atLeast"/>
              <w:jc w:val="center"/>
              <w:rPr>
                <w:rFonts w:ascii="宋体" w:hAnsi="宋体"/>
                <w:szCs w:val="21"/>
              </w:rPr>
            </w:pPr>
          </w:p>
        </w:tc>
        <w:tc>
          <w:tcPr>
            <w:tcW w:w="1956" w:type="dxa"/>
            <w:gridSpan w:val="3"/>
            <w:noWrap w:val="0"/>
            <w:vAlign w:val="top"/>
          </w:tcPr>
          <w:p>
            <w:pPr>
              <w:spacing w:line="240" w:lineRule="atLeast"/>
              <w:jc w:val="center"/>
              <w:rPr>
                <w:rFonts w:ascii="宋体" w:hAnsi="宋体"/>
                <w:szCs w:val="21"/>
              </w:rPr>
            </w:pPr>
            <w:r>
              <w:rPr>
                <w:rFonts w:hint="eastAsia" w:ascii="宋体" w:hAnsi="宋体"/>
                <w:szCs w:val="21"/>
              </w:rPr>
              <w:t>控股股东或实际控制人</w:t>
            </w:r>
          </w:p>
        </w:tc>
        <w:tc>
          <w:tcPr>
            <w:tcW w:w="2261" w:type="dxa"/>
            <w:gridSpan w:val="2"/>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机构类型</w:t>
            </w:r>
          </w:p>
        </w:tc>
        <w:tc>
          <w:tcPr>
            <w:tcW w:w="6450" w:type="dxa"/>
            <w:gridSpan w:val="7"/>
            <w:noWrap w:val="0"/>
            <w:vAlign w:val="top"/>
          </w:tcPr>
          <w:p>
            <w:pPr>
              <w:spacing w:line="240" w:lineRule="atLeast"/>
              <w:jc w:val="center"/>
              <w:rPr>
                <w:rFonts w:ascii="宋体" w:hAnsi="宋体"/>
                <w:szCs w:val="21"/>
              </w:rPr>
            </w:pPr>
            <w:r>
              <w:rPr>
                <w:rFonts w:hint="eastAsia" w:ascii="宋体" w:hAnsi="宋体"/>
                <w:szCs w:val="21"/>
              </w:rPr>
              <w:t>□一般企业法人 □金融机构□社会公益基金□QFII□RQFII□其他组织____________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09" w:hRule="atLeast"/>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住所地</w:t>
            </w:r>
          </w:p>
        </w:tc>
        <w:tc>
          <w:tcPr>
            <w:tcW w:w="6450" w:type="dxa"/>
            <w:gridSpan w:val="7"/>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86" w:hRule="atLeast"/>
          <w:jc w:val="center"/>
        </w:trPr>
        <w:tc>
          <w:tcPr>
            <w:tcW w:w="3078" w:type="dxa"/>
            <w:noWrap w:val="0"/>
            <w:vAlign w:val="top"/>
          </w:tcPr>
          <w:p>
            <w:pPr>
              <w:spacing w:line="240" w:lineRule="atLeast"/>
              <w:jc w:val="center"/>
              <w:rPr>
                <w:rFonts w:hint="eastAsia" w:ascii="宋体" w:hAnsi="宋体"/>
                <w:szCs w:val="21"/>
              </w:rPr>
            </w:pPr>
            <w:r>
              <w:rPr>
                <w:rFonts w:hint="eastAsia" w:ascii="宋体" w:hAnsi="宋体"/>
                <w:szCs w:val="21"/>
              </w:rPr>
              <w:t>经营范围</w:t>
            </w:r>
          </w:p>
        </w:tc>
        <w:tc>
          <w:tcPr>
            <w:tcW w:w="6450" w:type="dxa"/>
            <w:gridSpan w:val="7"/>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组织机构代码</w:t>
            </w:r>
          </w:p>
        </w:tc>
        <w:tc>
          <w:tcPr>
            <w:tcW w:w="2233" w:type="dxa"/>
            <w:gridSpan w:val="2"/>
            <w:noWrap w:val="0"/>
            <w:vAlign w:val="top"/>
          </w:tcPr>
          <w:p>
            <w:pPr>
              <w:spacing w:line="240" w:lineRule="atLeast"/>
              <w:jc w:val="center"/>
              <w:rPr>
                <w:rFonts w:ascii="宋体" w:hAnsi="宋体"/>
                <w:szCs w:val="21"/>
              </w:rPr>
            </w:pPr>
          </w:p>
        </w:tc>
        <w:tc>
          <w:tcPr>
            <w:tcW w:w="1956" w:type="dxa"/>
            <w:gridSpan w:val="3"/>
            <w:noWrap w:val="0"/>
            <w:vAlign w:val="top"/>
          </w:tcPr>
          <w:p>
            <w:pPr>
              <w:spacing w:line="240" w:lineRule="atLeast"/>
              <w:jc w:val="center"/>
              <w:rPr>
                <w:rFonts w:ascii="宋体" w:hAnsi="宋体"/>
                <w:szCs w:val="21"/>
              </w:rPr>
            </w:pPr>
            <w:r>
              <w:rPr>
                <w:rFonts w:hint="eastAsia" w:ascii="宋体" w:hAnsi="宋体"/>
                <w:szCs w:val="21"/>
              </w:rPr>
              <w:t>税务登记证号码</w:t>
            </w:r>
          </w:p>
        </w:tc>
        <w:tc>
          <w:tcPr>
            <w:tcW w:w="2261" w:type="dxa"/>
            <w:gridSpan w:val="2"/>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证明该机构依法设立或者可依法开展经营、社会活动的证照类型</w:t>
            </w:r>
          </w:p>
        </w:tc>
        <w:tc>
          <w:tcPr>
            <w:tcW w:w="2233" w:type="dxa"/>
            <w:gridSpan w:val="2"/>
            <w:noWrap w:val="0"/>
            <w:vAlign w:val="top"/>
          </w:tcPr>
          <w:p>
            <w:pPr>
              <w:spacing w:line="240" w:lineRule="atLeast"/>
              <w:jc w:val="center"/>
              <w:rPr>
                <w:rFonts w:ascii="宋体" w:hAnsi="宋体"/>
                <w:szCs w:val="21"/>
              </w:rPr>
            </w:pPr>
          </w:p>
        </w:tc>
        <w:tc>
          <w:tcPr>
            <w:tcW w:w="1956" w:type="dxa"/>
            <w:gridSpan w:val="3"/>
            <w:noWrap w:val="0"/>
            <w:vAlign w:val="top"/>
          </w:tcPr>
          <w:p>
            <w:pPr>
              <w:spacing w:line="240" w:lineRule="atLeast"/>
              <w:jc w:val="center"/>
              <w:rPr>
                <w:rFonts w:ascii="宋体" w:hAnsi="宋体"/>
                <w:szCs w:val="21"/>
              </w:rPr>
            </w:pPr>
            <w:r>
              <w:rPr>
                <w:rFonts w:hint="eastAsia" w:ascii="宋体" w:hAnsi="宋体"/>
                <w:szCs w:val="21"/>
              </w:rPr>
              <w:t>证明该机构依法设立或者可依法开展经营、社会活动的证照号码</w:t>
            </w:r>
          </w:p>
        </w:tc>
        <w:tc>
          <w:tcPr>
            <w:tcW w:w="2261" w:type="dxa"/>
            <w:gridSpan w:val="2"/>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证明该机构依法设立或者可依法开展经营、社会活动的证照有效期限</w:t>
            </w:r>
          </w:p>
        </w:tc>
        <w:tc>
          <w:tcPr>
            <w:tcW w:w="6450" w:type="dxa"/>
            <w:gridSpan w:val="7"/>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机构联系电话</w:t>
            </w:r>
          </w:p>
        </w:tc>
        <w:tc>
          <w:tcPr>
            <w:tcW w:w="847" w:type="dxa"/>
            <w:noWrap w:val="0"/>
            <w:vAlign w:val="top"/>
          </w:tcPr>
          <w:p>
            <w:pPr>
              <w:spacing w:line="240" w:lineRule="atLeast"/>
              <w:jc w:val="center"/>
              <w:rPr>
                <w:rFonts w:ascii="宋体" w:hAnsi="宋体"/>
                <w:szCs w:val="21"/>
              </w:rPr>
            </w:pPr>
          </w:p>
        </w:tc>
        <w:tc>
          <w:tcPr>
            <w:tcW w:w="1418" w:type="dxa"/>
            <w:gridSpan w:val="2"/>
            <w:noWrap w:val="0"/>
            <w:vAlign w:val="top"/>
          </w:tcPr>
          <w:p>
            <w:pPr>
              <w:spacing w:line="240" w:lineRule="atLeast"/>
              <w:rPr>
                <w:rFonts w:ascii="宋体" w:hAnsi="宋体"/>
                <w:szCs w:val="21"/>
              </w:rPr>
            </w:pPr>
            <w:r>
              <w:rPr>
                <w:rFonts w:hint="eastAsia" w:ascii="宋体" w:hAnsi="宋体"/>
                <w:szCs w:val="21"/>
              </w:rPr>
              <w:t>联系地址</w:t>
            </w:r>
          </w:p>
        </w:tc>
        <w:tc>
          <w:tcPr>
            <w:tcW w:w="1880" w:type="dxa"/>
            <w:noWrap w:val="0"/>
            <w:vAlign w:val="top"/>
          </w:tcPr>
          <w:p>
            <w:pPr>
              <w:spacing w:line="240" w:lineRule="atLeast"/>
              <w:jc w:val="center"/>
              <w:rPr>
                <w:rFonts w:ascii="宋体" w:hAnsi="宋体"/>
                <w:szCs w:val="21"/>
              </w:rPr>
            </w:pPr>
          </w:p>
        </w:tc>
        <w:tc>
          <w:tcPr>
            <w:tcW w:w="1276" w:type="dxa"/>
            <w:gridSpan w:val="2"/>
            <w:noWrap w:val="0"/>
            <w:vAlign w:val="top"/>
          </w:tcPr>
          <w:p>
            <w:pPr>
              <w:spacing w:line="240" w:lineRule="atLeast"/>
              <w:jc w:val="center"/>
              <w:rPr>
                <w:rFonts w:ascii="宋体" w:hAnsi="宋体"/>
                <w:szCs w:val="21"/>
              </w:rPr>
            </w:pPr>
            <w:r>
              <w:rPr>
                <w:rFonts w:hint="eastAsia" w:ascii="宋体" w:hAnsi="宋体"/>
                <w:szCs w:val="21"/>
              </w:rPr>
              <w:t>邮政编码</w:t>
            </w:r>
          </w:p>
        </w:tc>
        <w:tc>
          <w:tcPr>
            <w:tcW w:w="1029" w:type="dxa"/>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法定代表人姓名</w:t>
            </w:r>
          </w:p>
        </w:tc>
        <w:tc>
          <w:tcPr>
            <w:tcW w:w="2233" w:type="dxa"/>
            <w:gridSpan w:val="2"/>
            <w:noWrap w:val="0"/>
            <w:vAlign w:val="top"/>
          </w:tcPr>
          <w:p>
            <w:pPr>
              <w:spacing w:line="240" w:lineRule="atLeast"/>
              <w:jc w:val="center"/>
              <w:rPr>
                <w:rFonts w:ascii="宋体" w:hAnsi="宋体"/>
                <w:szCs w:val="21"/>
              </w:rPr>
            </w:pPr>
          </w:p>
        </w:tc>
        <w:tc>
          <w:tcPr>
            <w:tcW w:w="1956" w:type="dxa"/>
            <w:gridSpan w:val="3"/>
            <w:noWrap w:val="0"/>
            <w:vAlign w:val="top"/>
          </w:tcPr>
          <w:p>
            <w:pPr>
              <w:spacing w:line="240" w:lineRule="atLeast"/>
              <w:ind w:right="240"/>
              <w:jc w:val="center"/>
              <w:rPr>
                <w:rFonts w:ascii="宋体" w:hAnsi="宋体"/>
                <w:szCs w:val="21"/>
              </w:rPr>
            </w:pPr>
            <w:r>
              <w:rPr>
                <w:rFonts w:hint="eastAsia" w:ascii="宋体" w:hAnsi="宋体"/>
                <w:szCs w:val="21"/>
              </w:rPr>
              <w:t>法定代表人身份证件类型</w:t>
            </w:r>
          </w:p>
        </w:tc>
        <w:tc>
          <w:tcPr>
            <w:tcW w:w="2261" w:type="dxa"/>
            <w:gridSpan w:val="2"/>
            <w:noWrap w:val="0"/>
            <w:vAlign w:val="top"/>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法定代表人身份证件号码</w:t>
            </w:r>
          </w:p>
        </w:tc>
        <w:tc>
          <w:tcPr>
            <w:tcW w:w="2233" w:type="dxa"/>
            <w:gridSpan w:val="2"/>
            <w:noWrap w:val="0"/>
            <w:vAlign w:val="top"/>
          </w:tcPr>
          <w:p>
            <w:pPr>
              <w:spacing w:line="240" w:lineRule="atLeast"/>
              <w:jc w:val="center"/>
              <w:rPr>
                <w:rFonts w:ascii="宋体" w:hAnsi="宋体"/>
                <w:szCs w:val="21"/>
              </w:rPr>
            </w:pPr>
          </w:p>
        </w:tc>
        <w:tc>
          <w:tcPr>
            <w:tcW w:w="1956" w:type="dxa"/>
            <w:gridSpan w:val="3"/>
            <w:noWrap w:val="0"/>
            <w:vAlign w:val="top"/>
          </w:tcPr>
          <w:p>
            <w:pPr>
              <w:spacing w:line="240" w:lineRule="atLeast"/>
              <w:ind w:right="240"/>
              <w:jc w:val="center"/>
              <w:rPr>
                <w:rFonts w:ascii="宋体" w:hAnsi="宋体"/>
                <w:szCs w:val="21"/>
              </w:rPr>
            </w:pPr>
            <w:r>
              <w:rPr>
                <w:rFonts w:hint="eastAsia" w:ascii="宋体" w:hAnsi="宋体"/>
                <w:szCs w:val="21"/>
              </w:rPr>
              <w:t>法定代表人身份证件有效期限</w:t>
            </w:r>
          </w:p>
        </w:tc>
        <w:tc>
          <w:tcPr>
            <w:tcW w:w="2261" w:type="dxa"/>
            <w:gridSpan w:val="2"/>
            <w:noWrap w:val="0"/>
            <w:vAlign w:val="top"/>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授权代表人姓名</w:t>
            </w:r>
          </w:p>
        </w:tc>
        <w:tc>
          <w:tcPr>
            <w:tcW w:w="2233" w:type="dxa"/>
            <w:gridSpan w:val="2"/>
            <w:noWrap w:val="0"/>
            <w:vAlign w:val="top"/>
          </w:tcPr>
          <w:p>
            <w:pPr>
              <w:spacing w:line="240" w:lineRule="atLeast"/>
              <w:jc w:val="center"/>
              <w:rPr>
                <w:rFonts w:ascii="宋体" w:hAnsi="宋体"/>
                <w:szCs w:val="21"/>
              </w:rPr>
            </w:pPr>
          </w:p>
        </w:tc>
        <w:tc>
          <w:tcPr>
            <w:tcW w:w="1956" w:type="dxa"/>
            <w:gridSpan w:val="3"/>
            <w:noWrap w:val="0"/>
            <w:vAlign w:val="top"/>
          </w:tcPr>
          <w:p>
            <w:pPr>
              <w:spacing w:line="240" w:lineRule="atLeast"/>
              <w:jc w:val="center"/>
              <w:rPr>
                <w:rFonts w:ascii="宋体" w:hAnsi="宋体"/>
                <w:szCs w:val="21"/>
              </w:rPr>
            </w:pPr>
            <w:r>
              <w:rPr>
                <w:rFonts w:hint="eastAsia" w:ascii="宋体" w:hAnsi="宋体"/>
                <w:szCs w:val="21"/>
              </w:rPr>
              <w:t>授权代表人身份证件类型</w:t>
            </w:r>
          </w:p>
        </w:tc>
        <w:tc>
          <w:tcPr>
            <w:tcW w:w="2261" w:type="dxa"/>
            <w:gridSpan w:val="2"/>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授权代表人身份证件号码</w:t>
            </w:r>
          </w:p>
        </w:tc>
        <w:tc>
          <w:tcPr>
            <w:tcW w:w="2233" w:type="dxa"/>
            <w:gridSpan w:val="2"/>
            <w:noWrap w:val="0"/>
            <w:vAlign w:val="top"/>
          </w:tcPr>
          <w:p>
            <w:pPr>
              <w:spacing w:line="240" w:lineRule="atLeast"/>
              <w:jc w:val="center"/>
              <w:rPr>
                <w:rFonts w:ascii="宋体" w:hAnsi="宋体"/>
                <w:szCs w:val="21"/>
              </w:rPr>
            </w:pPr>
          </w:p>
        </w:tc>
        <w:tc>
          <w:tcPr>
            <w:tcW w:w="1956" w:type="dxa"/>
            <w:gridSpan w:val="3"/>
            <w:noWrap w:val="0"/>
            <w:vAlign w:val="top"/>
          </w:tcPr>
          <w:p>
            <w:pPr>
              <w:spacing w:line="240" w:lineRule="atLeast"/>
              <w:jc w:val="center"/>
              <w:rPr>
                <w:rFonts w:ascii="宋体" w:hAnsi="宋体"/>
                <w:szCs w:val="21"/>
              </w:rPr>
            </w:pPr>
            <w:r>
              <w:rPr>
                <w:rFonts w:hint="eastAsia" w:ascii="宋体" w:hAnsi="宋体"/>
                <w:szCs w:val="21"/>
              </w:rPr>
              <w:t>授权代表人身份证件有效期限</w:t>
            </w:r>
          </w:p>
        </w:tc>
        <w:tc>
          <w:tcPr>
            <w:tcW w:w="2261" w:type="dxa"/>
            <w:gridSpan w:val="2"/>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授权代表人电话</w:t>
            </w:r>
          </w:p>
        </w:tc>
        <w:tc>
          <w:tcPr>
            <w:tcW w:w="2233" w:type="dxa"/>
            <w:gridSpan w:val="2"/>
            <w:noWrap w:val="0"/>
            <w:vAlign w:val="top"/>
          </w:tcPr>
          <w:p>
            <w:pPr>
              <w:spacing w:line="240" w:lineRule="atLeast"/>
              <w:jc w:val="center"/>
              <w:rPr>
                <w:rFonts w:ascii="宋体" w:hAnsi="宋体"/>
                <w:szCs w:val="21"/>
              </w:rPr>
            </w:pPr>
          </w:p>
        </w:tc>
        <w:tc>
          <w:tcPr>
            <w:tcW w:w="1956" w:type="dxa"/>
            <w:gridSpan w:val="3"/>
            <w:noWrap w:val="0"/>
            <w:vAlign w:val="top"/>
          </w:tcPr>
          <w:p>
            <w:pPr>
              <w:spacing w:line="240" w:lineRule="atLeast"/>
              <w:jc w:val="center"/>
              <w:rPr>
                <w:rFonts w:ascii="宋体" w:hAnsi="宋体"/>
                <w:szCs w:val="21"/>
              </w:rPr>
            </w:pPr>
            <w:r>
              <w:rPr>
                <w:rFonts w:hint="eastAsia" w:ascii="宋体" w:hAnsi="宋体"/>
                <w:szCs w:val="21"/>
              </w:rPr>
              <w:t>授权代表人</w:t>
            </w:r>
          </w:p>
          <w:p>
            <w:pPr>
              <w:spacing w:line="240" w:lineRule="atLeast"/>
              <w:jc w:val="center"/>
              <w:rPr>
                <w:rFonts w:ascii="宋体" w:hAnsi="宋体"/>
                <w:szCs w:val="21"/>
              </w:rPr>
            </w:pPr>
            <w:r>
              <w:rPr>
                <w:rFonts w:hint="eastAsia" w:ascii="宋体" w:hAnsi="宋体"/>
                <w:szCs w:val="21"/>
              </w:rPr>
              <w:t>手机号码</w:t>
            </w:r>
          </w:p>
        </w:tc>
        <w:tc>
          <w:tcPr>
            <w:tcW w:w="2261" w:type="dxa"/>
            <w:gridSpan w:val="2"/>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授权代表人联系地址</w:t>
            </w:r>
          </w:p>
        </w:tc>
        <w:tc>
          <w:tcPr>
            <w:tcW w:w="6450" w:type="dxa"/>
            <w:gridSpan w:val="7"/>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09" w:hRule="atLeast"/>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邮政编码</w:t>
            </w:r>
          </w:p>
        </w:tc>
        <w:tc>
          <w:tcPr>
            <w:tcW w:w="2233" w:type="dxa"/>
            <w:gridSpan w:val="2"/>
            <w:noWrap w:val="0"/>
            <w:vAlign w:val="top"/>
          </w:tcPr>
          <w:p>
            <w:pPr>
              <w:spacing w:line="240" w:lineRule="atLeast"/>
              <w:jc w:val="center"/>
              <w:rPr>
                <w:rFonts w:ascii="宋体" w:hAnsi="宋体"/>
                <w:szCs w:val="21"/>
              </w:rPr>
            </w:pPr>
          </w:p>
        </w:tc>
        <w:tc>
          <w:tcPr>
            <w:tcW w:w="1956" w:type="dxa"/>
            <w:gridSpan w:val="3"/>
            <w:noWrap w:val="0"/>
            <w:vAlign w:val="top"/>
          </w:tcPr>
          <w:p>
            <w:pPr>
              <w:spacing w:line="240" w:lineRule="atLeast"/>
              <w:jc w:val="center"/>
              <w:rPr>
                <w:rFonts w:ascii="宋体" w:hAnsi="宋体"/>
                <w:szCs w:val="21"/>
              </w:rPr>
            </w:pPr>
            <w:r>
              <w:rPr>
                <w:rFonts w:hint="eastAsia" w:ascii="宋体" w:hAnsi="宋体"/>
                <w:szCs w:val="21"/>
              </w:rPr>
              <w:t>Email地址</w:t>
            </w:r>
          </w:p>
        </w:tc>
        <w:tc>
          <w:tcPr>
            <w:tcW w:w="2261" w:type="dxa"/>
            <w:gridSpan w:val="2"/>
            <w:noWrap w:val="0"/>
            <w:vAlign w:val="top"/>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09" w:hRule="atLeast"/>
          <w:jc w:val="center"/>
        </w:trPr>
        <w:tc>
          <w:tcPr>
            <w:tcW w:w="3078" w:type="dxa"/>
            <w:noWrap w:val="0"/>
            <w:vAlign w:val="top"/>
          </w:tcPr>
          <w:p>
            <w:pPr>
              <w:spacing w:line="240" w:lineRule="atLeast"/>
              <w:jc w:val="center"/>
              <w:rPr>
                <w:rFonts w:ascii="宋体" w:hAnsi="宋体"/>
                <w:szCs w:val="21"/>
              </w:rPr>
            </w:pPr>
            <w:r>
              <w:rPr>
                <w:rFonts w:hint="eastAsia" w:ascii="宋体" w:hAnsi="宋体"/>
                <w:szCs w:val="21"/>
              </w:rPr>
              <w:t>实际控制投资者的自然人</w:t>
            </w:r>
          </w:p>
        </w:tc>
        <w:tc>
          <w:tcPr>
            <w:tcW w:w="2233" w:type="dxa"/>
            <w:gridSpan w:val="2"/>
            <w:noWrap w:val="0"/>
            <w:vAlign w:val="top"/>
          </w:tcPr>
          <w:p>
            <w:pPr>
              <w:spacing w:line="240" w:lineRule="atLeast"/>
              <w:jc w:val="center"/>
              <w:rPr>
                <w:rFonts w:hint="eastAsia" w:ascii="宋体" w:hAnsi="宋体"/>
                <w:szCs w:val="21"/>
              </w:rPr>
            </w:pPr>
            <w:r>
              <w:rPr>
                <w:rFonts w:hint="eastAsia" w:ascii="宋体" w:hAnsi="宋体"/>
                <w:szCs w:val="21"/>
              </w:rPr>
              <w:t>姓名：</w:t>
            </w:r>
          </w:p>
          <w:p>
            <w:pPr>
              <w:spacing w:line="240" w:lineRule="atLeast"/>
              <w:jc w:val="center"/>
              <w:rPr>
                <w:rFonts w:ascii="宋体" w:hAnsi="宋体"/>
                <w:szCs w:val="21"/>
              </w:rPr>
            </w:pPr>
            <w:r>
              <w:rPr>
                <w:rFonts w:hint="eastAsia" w:ascii="宋体" w:hAnsi="宋体"/>
                <w:szCs w:val="21"/>
              </w:rPr>
              <w:t>电话：</w:t>
            </w:r>
          </w:p>
        </w:tc>
        <w:tc>
          <w:tcPr>
            <w:tcW w:w="1956" w:type="dxa"/>
            <w:gridSpan w:val="3"/>
            <w:noWrap w:val="0"/>
            <w:vAlign w:val="top"/>
          </w:tcPr>
          <w:p>
            <w:pPr>
              <w:spacing w:line="240" w:lineRule="atLeast"/>
              <w:jc w:val="center"/>
              <w:rPr>
                <w:rFonts w:ascii="宋体" w:hAnsi="宋体"/>
                <w:szCs w:val="21"/>
              </w:rPr>
            </w:pPr>
            <w:r>
              <w:rPr>
                <w:rFonts w:hint="eastAsia" w:ascii="宋体" w:hAnsi="宋体"/>
                <w:szCs w:val="21"/>
              </w:rPr>
              <w:t>交易的实际受益人</w:t>
            </w:r>
          </w:p>
        </w:tc>
        <w:tc>
          <w:tcPr>
            <w:tcW w:w="2261" w:type="dxa"/>
            <w:gridSpan w:val="2"/>
            <w:noWrap w:val="0"/>
            <w:vAlign w:val="top"/>
          </w:tcPr>
          <w:p>
            <w:pPr>
              <w:spacing w:line="240" w:lineRule="atLeast"/>
              <w:jc w:val="center"/>
              <w:rPr>
                <w:rFonts w:hint="eastAsia" w:ascii="宋体" w:hAnsi="宋体"/>
                <w:szCs w:val="21"/>
              </w:rPr>
            </w:pPr>
            <w:r>
              <w:rPr>
                <w:rFonts w:hint="eastAsia" w:ascii="宋体" w:hAnsi="宋体"/>
                <w:szCs w:val="21"/>
              </w:rPr>
              <w:t>姓名：</w:t>
            </w:r>
          </w:p>
          <w:p>
            <w:pPr>
              <w:spacing w:line="240" w:lineRule="atLeast"/>
              <w:jc w:val="center"/>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09" w:hRule="atLeast"/>
          <w:jc w:val="center"/>
        </w:trPr>
        <w:tc>
          <w:tcPr>
            <w:tcW w:w="3078" w:type="dxa"/>
            <w:noWrap w:val="0"/>
            <w:vAlign w:val="center"/>
          </w:tcPr>
          <w:p>
            <w:pPr>
              <w:spacing w:line="240" w:lineRule="atLeast"/>
              <w:jc w:val="center"/>
              <w:rPr>
                <w:rFonts w:ascii="宋体" w:hAnsi="宋体"/>
                <w:szCs w:val="21"/>
              </w:rPr>
            </w:pPr>
            <w:r>
              <w:rPr>
                <w:rFonts w:hint="eastAsia" w:ascii="宋体" w:hAnsi="宋体"/>
                <w:szCs w:val="21"/>
              </w:rPr>
              <w:t>诚信记录</w:t>
            </w:r>
          </w:p>
        </w:tc>
        <w:tc>
          <w:tcPr>
            <w:tcW w:w="6450" w:type="dxa"/>
            <w:gridSpan w:val="7"/>
            <w:noWrap w:val="0"/>
            <w:vAlign w:val="center"/>
          </w:tcPr>
          <w:p>
            <w:pPr>
              <w:spacing w:line="240" w:lineRule="atLeast"/>
              <w:rPr>
                <w:rFonts w:hint="eastAsia" w:ascii="宋体" w:hAnsi="宋体"/>
                <w:szCs w:val="21"/>
              </w:rPr>
            </w:pPr>
            <w:r>
              <w:rPr>
                <w:rFonts w:hint="eastAsia" w:ascii="宋体" w:hAnsi="宋体"/>
                <w:szCs w:val="21"/>
              </w:rPr>
              <w:t>是否有来源于以下机构的不良诚信记录？</w:t>
            </w:r>
          </w:p>
          <w:p>
            <w:pPr>
              <w:spacing w:line="240" w:lineRule="atLeast"/>
              <w:rPr>
                <w:rFonts w:hint="eastAsia" w:ascii="宋体" w:hAnsi="宋体"/>
                <w:szCs w:val="21"/>
              </w:rPr>
            </w:pPr>
            <w:r>
              <w:rPr>
                <w:rFonts w:hint="eastAsia" w:ascii="宋体" w:hAnsi="宋体"/>
                <w:szCs w:val="21"/>
              </w:rPr>
              <w:t>□中国人民银行征信中心 □最高人民法院失信被执行人名单 □工商行政管理机构 □税务管理机构 □监管机构、自律组织 □投资者在证券经营机构的失信记录 □其他组织</w:t>
            </w:r>
          </w:p>
          <w:p>
            <w:pPr>
              <w:spacing w:line="240" w:lineRule="atLeast"/>
              <w:rPr>
                <w:rFonts w:ascii="宋体" w:hAnsi="宋体"/>
                <w:szCs w:val="21"/>
              </w:rPr>
            </w:pPr>
            <w:r>
              <w:rPr>
                <w:rFonts w:hint="eastAsia" w:ascii="宋体" w:hAnsi="宋体"/>
                <w:szCs w:val="21"/>
              </w:rPr>
              <w:t>□无    □有</w:t>
            </w:r>
          </w:p>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375" w:hRule="atLeast"/>
          <w:jc w:val="center"/>
        </w:trPr>
        <w:tc>
          <w:tcPr>
            <w:tcW w:w="9528" w:type="dxa"/>
            <w:gridSpan w:val="8"/>
            <w:noWrap w:val="0"/>
            <w:vAlign w:val="top"/>
          </w:tcPr>
          <w:p>
            <w:pPr>
              <w:spacing w:line="240" w:lineRule="atLeast"/>
              <w:rPr>
                <w:rFonts w:ascii="宋体" w:hAnsi="宋体"/>
                <w:szCs w:val="21"/>
              </w:rPr>
            </w:pPr>
            <w:r>
              <w:rPr>
                <w:rFonts w:hint="eastAsia" w:ascii="宋体" w:hAnsi="宋体"/>
                <w:szCs w:val="21"/>
              </w:rPr>
              <w:t>本机构保证资金来源的合法性和所提供资料的真实性、准确性、完整性，并对其承担责任。</w:t>
            </w:r>
          </w:p>
          <w:p>
            <w:pPr>
              <w:spacing w:line="240" w:lineRule="atLeast"/>
              <w:rPr>
                <w:rFonts w:ascii="宋体" w:hAnsi="宋体"/>
                <w:szCs w:val="21"/>
              </w:rPr>
            </w:pPr>
            <w:r>
              <w:rPr>
                <w:rFonts w:hint="eastAsia" w:ascii="宋体" w:hAnsi="宋体"/>
                <w:szCs w:val="21"/>
              </w:rPr>
              <w:t>机构授权代表人签名：                        机构法定代表人签名：</w:t>
            </w:r>
          </w:p>
          <w:p>
            <w:pPr>
              <w:spacing w:line="240" w:lineRule="atLeast"/>
              <w:rPr>
                <w:rFonts w:ascii="宋体" w:hAnsi="宋体"/>
                <w:szCs w:val="21"/>
              </w:rPr>
            </w:pPr>
            <w:r>
              <w:rPr>
                <w:rFonts w:hint="eastAsia" w:ascii="宋体" w:hAnsi="宋体"/>
                <w:szCs w:val="21"/>
              </w:rPr>
              <w:t xml:space="preserve">                                    </w:t>
            </w:r>
          </w:p>
          <w:p>
            <w:pPr>
              <w:spacing w:line="240" w:lineRule="atLeast"/>
              <w:rPr>
                <w:rFonts w:ascii="宋体" w:hAnsi="宋体"/>
                <w:szCs w:val="21"/>
              </w:rPr>
            </w:pPr>
            <w:r>
              <w:rPr>
                <w:rFonts w:hint="eastAsia" w:ascii="宋体" w:hAnsi="宋体"/>
                <w:szCs w:val="21"/>
              </w:rPr>
              <w:t>机构盖章：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41" w:hRule="atLeast"/>
          <w:jc w:val="center"/>
        </w:trPr>
        <w:tc>
          <w:tcPr>
            <w:tcW w:w="9528" w:type="dxa"/>
            <w:gridSpan w:val="8"/>
            <w:noWrap w:val="0"/>
            <w:vAlign w:val="top"/>
          </w:tcPr>
          <w:p>
            <w:pPr>
              <w:spacing w:line="240" w:lineRule="atLeast"/>
              <w:rPr>
                <w:rFonts w:ascii="宋体" w:hAnsi="宋体"/>
                <w:szCs w:val="21"/>
              </w:rPr>
            </w:pPr>
            <w:r>
              <w:rPr>
                <w:rFonts w:hint="eastAsia" w:ascii="宋体" w:hAnsi="宋体"/>
                <w:szCs w:val="21"/>
              </w:rPr>
              <w:t xml:space="preserve">经办人签章：            复核人签章：         营业网点盖章：                   </w:t>
            </w:r>
          </w:p>
          <w:p>
            <w:pPr>
              <w:spacing w:line="240" w:lineRule="atLeast"/>
              <w:rPr>
                <w:rFonts w:ascii="宋体" w:hAnsi="宋体"/>
                <w:szCs w:val="21"/>
              </w:rPr>
            </w:pPr>
            <w:r>
              <w:rPr>
                <w:rFonts w:hint="eastAsia" w:ascii="宋体" w:hAnsi="宋体"/>
                <w:szCs w:val="21"/>
              </w:rPr>
              <w:t xml:space="preserve">事后审核人签章：                              </w:t>
            </w:r>
          </w:p>
          <w:p>
            <w:pPr>
              <w:spacing w:line="240" w:lineRule="atLeast"/>
              <w:ind w:firstLine="6195" w:firstLineChars="2950"/>
              <w:rPr>
                <w:rFonts w:ascii="宋体" w:hAnsi="宋体"/>
                <w:szCs w:val="21"/>
              </w:rPr>
            </w:pPr>
            <w:r>
              <w:rPr>
                <w:rFonts w:hint="eastAsia" w:ascii="宋体" w:hAnsi="宋体"/>
                <w:szCs w:val="21"/>
              </w:rPr>
              <w:t>日期：   年  月  日</w:t>
            </w:r>
          </w:p>
        </w:tc>
      </w:tr>
    </w:tbl>
    <w:p>
      <w:pPr>
        <w:spacing w:line="240" w:lineRule="atLeast"/>
        <w:jc w:val="left"/>
        <w:rPr>
          <w:rFonts w:hint="eastAsia" w:ascii="宋体" w:hAnsi="宋体"/>
          <w:sz w:val="24"/>
        </w:rPr>
      </w:pPr>
    </w:p>
    <w:p>
      <w:pPr>
        <w:spacing w:line="240" w:lineRule="atLeast"/>
        <w:jc w:val="left"/>
        <w:rPr>
          <w:rFonts w:ascii="宋体" w:hAnsi="宋体"/>
          <w:b/>
          <w:sz w:val="24"/>
        </w:rPr>
      </w:pPr>
      <w:r>
        <w:rPr>
          <w:rFonts w:hint="eastAsia" w:ascii="宋体" w:hAnsi="宋体"/>
          <w:szCs w:val="21"/>
        </w:rPr>
        <w:t>注：机构投资者包括法人和其他组织</w:t>
      </w:r>
      <w:r>
        <w:rPr>
          <w:rFonts w:hint="eastAsia" w:ascii="宋体" w:hAnsi="宋体"/>
          <w:b/>
          <w:szCs w:val="21"/>
        </w:rPr>
        <w:t>。</w:t>
      </w:r>
      <w:r>
        <w:rPr>
          <w:rFonts w:hint="eastAsia" w:ascii="宋体" w:hAnsi="宋体"/>
          <w:sz w:val="24"/>
        </w:rPr>
        <w:br w:type="page"/>
      </w:r>
      <w:r>
        <w:rPr>
          <w:rFonts w:hint="eastAsia" w:ascii="宋体" w:hAnsi="宋体"/>
          <w:b/>
          <w:sz w:val="24"/>
        </w:rPr>
        <w:t>附件2：</w:t>
      </w:r>
    </w:p>
    <w:p>
      <w:pPr>
        <w:spacing w:line="240" w:lineRule="atLeast"/>
        <w:jc w:val="center"/>
        <w:rPr>
          <w:rFonts w:ascii="宋体" w:hAnsi="宋体"/>
          <w:b/>
          <w:sz w:val="24"/>
        </w:rPr>
      </w:pPr>
      <w:r>
        <w:rPr>
          <w:rFonts w:hint="eastAsia" w:ascii="宋体" w:hAnsi="宋体"/>
          <w:b/>
          <w:sz w:val="24"/>
        </w:rPr>
        <w:t>专业投资者申请书</w:t>
      </w:r>
    </w:p>
    <w:tbl>
      <w:tblPr>
        <w:tblStyle w:val="36"/>
        <w:tblW w:w="9782"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42"/>
        <w:gridCol w:w="851"/>
        <w:gridCol w:w="142"/>
        <w:gridCol w:w="2835"/>
        <w:gridCol w:w="1417"/>
        <w:gridCol w:w="851"/>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547" w:hRule="atLeast"/>
        </w:trPr>
        <w:tc>
          <w:tcPr>
            <w:tcW w:w="852" w:type="dxa"/>
            <w:vMerge w:val="restart"/>
            <w:noWrap w:val="0"/>
            <w:textDirection w:val="tbRlV"/>
            <w:vAlign w:val="center"/>
          </w:tcPr>
          <w:p>
            <w:pPr>
              <w:spacing w:line="240" w:lineRule="atLeast"/>
              <w:ind w:left="113" w:right="113"/>
              <w:jc w:val="center"/>
              <w:rPr>
                <w:rFonts w:ascii="宋体" w:hAnsi="宋体"/>
                <w:szCs w:val="21"/>
              </w:rPr>
            </w:pPr>
            <w:r>
              <w:rPr>
                <w:rFonts w:hint="eastAsia" w:ascii="宋体" w:hAnsi="宋体"/>
                <w:szCs w:val="21"/>
              </w:rPr>
              <w:t>投资者申请栏</w:t>
            </w:r>
          </w:p>
        </w:tc>
        <w:tc>
          <w:tcPr>
            <w:tcW w:w="2835" w:type="dxa"/>
            <w:gridSpan w:val="3"/>
            <w:noWrap w:val="0"/>
            <w:vAlign w:val="center"/>
          </w:tcPr>
          <w:p>
            <w:pPr>
              <w:spacing w:line="240" w:lineRule="atLeast"/>
              <w:jc w:val="center"/>
              <w:rPr>
                <w:rFonts w:ascii="宋体" w:hAnsi="宋体"/>
                <w:szCs w:val="21"/>
              </w:rPr>
            </w:pPr>
            <w:r>
              <w:rPr>
                <w:rFonts w:hint="eastAsia" w:ascii="宋体" w:hAnsi="宋体"/>
                <w:szCs w:val="21"/>
              </w:rPr>
              <w:t>投资者姓名/名称</w:t>
            </w:r>
          </w:p>
        </w:tc>
        <w:tc>
          <w:tcPr>
            <w:tcW w:w="2835" w:type="dxa"/>
            <w:noWrap w:val="0"/>
            <w:vAlign w:val="center"/>
          </w:tcPr>
          <w:p>
            <w:pPr>
              <w:spacing w:line="240" w:lineRule="atLeast"/>
              <w:rPr>
                <w:rFonts w:ascii="宋体" w:hAnsi="宋体"/>
                <w:szCs w:val="21"/>
              </w:rPr>
            </w:pPr>
          </w:p>
        </w:tc>
        <w:tc>
          <w:tcPr>
            <w:tcW w:w="1417" w:type="dxa"/>
            <w:noWrap w:val="0"/>
            <w:vAlign w:val="center"/>
          </w:tcPr>
          <w:p>
            <w:pPr>
              <w:spacing w:line="240" w:lineRule="atLeast"/>
              <w:jc w:val="center"/>
              <w:rPr>
                <w:rFonts w:ascii="宋体" w:hAnsi="宋体"/>
                <w:szCs w:val="21"/>
              </w:rPr>
            </w:pPr>
            <w:r>
              <w:rPr>
                <w:rFonts w:hint="eastAsia" w:ascii="宋体" w:hAnsi="宋体"/>
                <w:szCs w:val="21"/>
              </w:rPr>
              <w:t>资金账号</w:t>
            </w:r>
          </w:p>
        </w:tc>
        <w:tc>
          <w:tcPr>
            <w:tcW w:w="1843" w:type="dxa"/>
            <w:gridSpan w:val="2"/>
            <w:noWrap w:val="0"/>
            <w:vAlign w:val="center"/>
          </w:tcPr>
          <w:p>
            <w:pPr>
              <w:spacing w:line="240" w:lineRule="atLeas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419" w:hRule="atLeast"/>
        </w:trPr>
        <w:tc>
          <w:tcPr>
            <w:tcW w:w="852" w:type="dxa"/>
            <w:vMerge w:val="continue"/>
            <w:noWrap w:val="0"/>
            <w:vAlign w:val="top"/>
          </w:tcPr>
          <w:p>
            <w:pPr>
              <w:spacing w:line="240" w:lineRule="atLeast"/>
              <w:jc w:val="center"/>
              <w:rPr>
                <w:rFonts w:ascii="宋体" w:hAnsi="宋体"/>
                <w:szCs w:val="21"/>
              </w:rPr>
            </w:pPr>
          </w:p>
        </w:tc>
        <w:tc>
          <w:tcPr>
            <w:tcW w:w="2835" w:type="dxa"/>
            <w:gridSpan w:val="3"/>
            <w:noWrap w:val="0"/>
            <w:vAlign w:val="center"/>
          </w:tcPr>
          <w:p>
            <w:pPr>
              <w:spacing w:line="240" w:lineRule="atLeast"/>
              <w:jc w:val="center"/>
              <w:rPr>
                <w:rFonts w:ascii="宋体" w:hAnsi="宋体"/>
                <w:szCs w:val="21"/>
              </w:rPr>
            </w:pPr>
            <w:r>
              <w:rPr>
                <w:rFonts w:hint="eastAsia" w:ascii="宋体" w:hAnsi="宋体"/>
                <w:szCs w:val="21"/>
              </w:rPr>
              <w:t>身份证明文件类别及号码</w:t>
            </w:r>
          </w:p>
        </w:tc>
        <w:tc>
          <w:tcPr>
            <w:tcW w:w="6095" w:type="dxa"/>
            <w:gridSpan w:val="4"/>
            <w:noWrap w:val="0"/>
            <w:vAlign w:val="center"/>
          </w:tcPr>
          <w:p>
            <w:pPr>
              <w:spacing w:line="240" w:lineRule="atLeas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2538" w:hRule="atLeast"/>
        </w:trPr>
        <w:tc>
          <w:tcPr>
            <w:tcW w:w="852" w:type="dxa"/>
            <w:vMerge w:val="continue"/>
            <w:noWrap w:val="0"/>
            <w:vAlign w:val="top"/>
          </w:tcPr>
          <w:p>
            <w:pPr>
              <w:spacing w:line="240" w:lineRule="atLeast"/>
              <w:jc w:val="center"/>
              <w:rPr>
                <w:rFonts w:ascii="宋体" w:hAnsi="宋体"/>
                <w:szCs w:val="21"/>
              </w:rPr>
            </w:pPr>
          </w:p>
        </w:tc>
        <w:tc>
          <w:tcPr>
            <w:tcW w:w="8930" w:type="dxa"/>
            <w:gridSpan w:val="7"/>
            <w:noWrap w:val="0"/>
            <w:vAlign w:val="top"/>
          </w:tcPr>
          <w:p>
            <w:pPr>
              <w:snapToGrid w:val="0"/>
              <w:spacing w:line="240" w:lineRule="atLeast"/>
              <w:ind w:firstLine="420" w:firstLineChars="200"/>
              <w:rPr>
                <w:rFonts w:ascii="宋体" w:hAnsi="宋体"/>
                <w:szCs w:val="21"/>
              </w:rPr>
            </w:pPr>
          </w:p>
          <w:p>
            <w:pPr>
              <w:snapToGrid w:val="0"/>
              <w:spacing w:line="240" w:lineRule="atLeast"/>
              <w:ind w:firstLine="420" w:firstLineChars="200"/>
              <w:rPr>
                <w:rFonts w:ascii="宋体" w:hAnsi="宋体"/>
                <w:szCs w:val="21"/>
              </w:rPr>
            </w:pPr>
            <w:r>
              <w:rPr>
                <w:rFonts w:hint="eastAsia" w:ascii="宋体" w:hAnsi="宋体"/>
                <w:szCs w:val="21"/>
              </w:rPr>
              <w:t>本人/机构自愿申请被划分为专业投资者，已按要求提供财产状况、投资经历、从业经历等相关证明材料，承诺所提供材料真实、准确、完整并对其负责，所提供材料符合下述相应类别的各项要求，并自主承担产生的风险和后果。</w:t>
            </w:r>
          </w:p>
          <w:p>
            <w:pPr>
              <w:snapToGrid w:val="0"/>
              <w:spacing w:line="240" w:lineRule="atLeast"/>
              <w:ind w:firstLine="420" w:firstLineChars="200"/>
              <w:rPr>
                <w:rFonts w:ascii="宋体" w:hAnsi="宋体"/>
                <w:szCs w:val="21"/>
              </w:rPr>
            </w:pPr>
            <w:r>
              <w:rPr>
                <w:rFonts w:hint="eastAsia" w:ascii="宋体" w:hAnsi="宋体"/>
                <w:szCs w:val="21"/>
              </w:rPr>
              <w:t>特此申请。</w:t>
            </w:r>
          </w:p>
          <w:p>
            <w:pPr>
              <w:snapToGrid w:val="0"/>
              <w:spacing w:line="240" w:lineRule="atLeast"/>
              <w:ind w:firstLine="420" w:firstLineChars="200"/>
              <w:rPr>
                <w:rFonts w:ascii="宋体" w:hAnsi="宋体"/>
                <w:szCs w:val="21"/>
              </w:rPr>
            </w:pPr>
          </w:p>
          <w:p>
            <w:pPr>
              <w:snapToGrid w:val="0"/>
              <w:spacing w:line="240" w:lineRule="atLeast"/>
              <w:rPr>
                <w:rFonts w:ascii="宋体" w:hAnsi="宋体"/>
                <w:szCs w:val="21"/>
              </w:rPr>
            </w:pPr>
          </w:p>
          <w:p>
            <w:pPr>
              <w:spacing w:line="240" w:lineRule="atLeast"/>
              <w:ind w:firstLine="420" w:firstLineChars="200"/>
              <w:rPr>
                <w:rFonts w:ascii="宋体" w:hAnsi="宋体"/>
                <w:szCs w:val="21"/>
              </w:rPr>
            </w:pPr>
            <w:r>
              <w:rPr>
                <w:rFonts w:hint="eastAsia" w:ascii="宋体" w:hAnsi="宋体"/>
                <w:szCs w:val="21"/>
              </w:rPr>
              <w:t xml:space="preserve">  投资者（自然人签名/机构签章、授权代表人签名）：</w:t>
            </w:r>
          </w:p>
          <w:p>
            <w:pPr>
              <w:snapToGrid w:val="0"/>
              <w:spacing w:line="240" w:lineRule="atLeast"/>
              <w:ind w:firstLine="420" w:firstLineChars="200"/>
              <w:rPr>
                <w:rFonts w:ascii="宋体" w:hAnsi="宋体"/>
                <w:szCs w:val="21"/>
              </w:rPr>
            </w:pPr>
            <w:r>
              <w:rPr>
                <w:rFonts w:hint="eastAsia" w:ascii="宋体" w:hAnsi="宋体"/>
                <w:szCs w:val="21"/>
              </w:rPr>
              <w:t xml:space="preserve">                      </w:t>
            </w:r>
          </w:p>
          <w:p>
            <w:pPr>
              <w:snapToGrid w:val="0"/>
              <w:spacing w:line="240" w:lineRule="atLeast"/>
              <w:ind w:firstLine="3045" w:firstLineChars="1450"/>
              <w:rPr>
                <w:rFonts w:ascii="宋体" w:hAnsi="宋体"/>
                <w:szCs w:val="21"/>
              </w:rPr>
            </w:pPr>
            <w:r>
              <w:rPr>
                <w:rFonts w:hint="eastAsia" w:ascii="宋体" w:hAnsi="宋体"/>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433" w:hRule="atLeast"/>
        </w:trPr>
        <w:tc>
          <w:tcPr>
            <w:tcW w:w="852" w:type="dxa"/>
            <w:vMerge w:val="restart"/>
            <w:noWrap w:val="0"/>
            <w:textDirection w:val="tbRlV"/>
            <w:vAlign w:val="center"/>
          </w:tcPr>
          <w:p>
            <w:pPr>
              <w:spacing w:line="240" w:lineRule="atLeast"/>
              <w:ind w:left="113" w:right="113"/>
              <w:jc w:val="center"/>
              <w:rPr>
                <w:rFonts w:ascii="宋体" w:hAnsi="宋体"/>
                <w:szCs w:val="21"/>
              </w:rPr>
            </w:pPr>
            <w:r>
              <w:rPr>
                <w:rFonts w:hint="eastAsia" w:ascii="宋体" w:hAnsi="宋体"/>
                <w:szCs w:val="21"/>
              </w:rPr>
              <w:t>证券经营机构复核栏</w:t>
            </w:r>
          </w:p>
        </w:tc>
        <w:tc>
          <w:tcPr>
            <w:tcW w:w="2693" w:type="dxa"/>
            <w:gridSpan w:val="2"/>
            <w:noWrap w:val="0"/>
            <w:vAlign w:val="center"/>
          </w:tcPr>
          <w:p>
            <w:pPr>
              <w:spacing w:line="240" w:lineRule="atLeast"/>
              <w:jc w:val="center"/>
              <w:rPr>
                <w:rFonts w:ascii="宋体" w:hAnsi="宋体"/>
                <w:szCs w:val="21"/>
              </w:rPr>
            </w:pPr>
            <w:r>
              <w:rPr>
                <w:rFonts w:hint="eastAsia" w:ascii="宋体" w:hAnsi="宋体"/>
                <w:szCs w:val="21"/>
              </w:rPr>
              <w:t>类型</w:t>
            </w:r>
          </w:p>
        </w:tc>
        <w:tc>
          <w:tcPr>
            <w:tcW w:w="5245" w:type="dxa"/>
            <w:gridSpan w:val="4"/>
            <w:noWrap w:val="0"/>
            <w:vAlign w:val="center"/>
          </w:tcPr>
          <w:p>
            <w:pPr>
              <w:spacing w:line="240" w:lineRule="atLeast"/>
              <w:jc w:val="center"/>
              <w:rPr>
                <w:rFonts w:ascii="宋体" w:hAnsi="宋体"/>
                <w:szCs w:val="21"/>
              </w:rPr>
            </w:pPr>
            <w:r>
              <w:rPr>
                <w:rFonts w:hint="eastAsia" w:ascii="宋体" w:hAnsi="宋体"/>
                <w:szCs w:val="21"/>
              </w:rPr>
              <w:t>复核内容</w:t>
            </w:r>
          </w:p>
        </w:tc>
        <w:tc>
          <w:tcPr>
            <w:tcW w:w="992" w:type="dxa"/>
            <w:noWrap w:val="0"/>
            <w:vAlign w:val="center"/>
          </w:tcPr>
          <w:p>
            <w:pPr>
              <w:snapToGrid w:val="0"/>
              <w:spacing w:line="240" w:lineRule="atLeast"/>
              <w:jc w:val="center"/>
              <w:rPr>
                <w:rFonts w:ascii="宋体" w:hAnsi="宋体"/>
                <w:szCs w:val="21"/>
              </w:rPr>
            </w:pPr>
            <w:r>
              <w:rPr>
                <w:rFonts w:hint="eastAsia" w:ascii="宋体" w:hAnsi="宋体"/>
                <w:szCs w:val="21"/>
              </w:rPr>
              <w:t>是否符合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445" w:hRule="atLeast"/>
        </w:trPr>
        <w:tc>
          <w:tcPr>
            <w:tcW w:w="852" w:type="dxa"/>
            <w:vMerge w:val="continue"/>
            <w:noWrap w:val="0"/>
            <w:vAlign w:val="top"/>
          </w:tcPr>
          <w:p>
            <w:pPr>
              <w:spacing w:line="240" w:lineRule="atLeast"/>
              <w:jc w:val="center"/>
              <w:rPr>
                <w:rFonts w:ascii="宋体" w:hAnsi="宋体"/>
                <w:szCs w:val="21"/>
              </w:rPr>
            </w:pPr>
          </w:p>
        </w:tc>
        <w:tc>
          <w:tcPr>
            <w:tcW w:w="1842" w:type="dxa"/>
            <w:vMerge w:val="restart"/>
            <w:noWrap w:val="0"/>
            <w:vAlign w:val="center"/>
          </w:tcPr>
          <w:p>
            <w:pPr>
              <w:spacing w:line="240" w:lineRule="atLeast"/>
              <w:jc w:val="center"/>
              <w:rPr>
                <w:rFonts w:ascii="宋体" w:hAnsi="宋体"/>
                <w:szCs w:val="21"/>
              </w:rPr>
            </w:pPr>
            <w:r>
              <w:rPr>
                <w:rFonts w:hint="eastAsia" w:ascii="宋体" w:hAnsi="宋体"/>
                <w:szCs w:val="21"/>
              </w:rPr>
              <w:t>符合《办法》第八条（四）、（五）条件的投资者</w:t>
            </w:r>
          </w:p>
        </w:tc>
        <w:tc>
          <w:tcPr>
            <w:tcW w:w="851" w:type="dxa"/>
            <w:vMerge w:val="restart"/>
            <w:noWrap w:val="0"/>
            <w:vAlign w:val="center"/>
          </w:tcPr>
          <w:p>
            <w:pPr>
              <w:spacing w:line="240" w:lineRule="atLeast"/>
              <w:jc w:val="center"/>
              <w:rPr>
                <w:rFonts w:ascii="宋体" w:hAnsi="宋体"/>
                <w:szCs w:val="21"/>
              </w:rPr>
            </w:pPr>
            <w:r>
              <w:rPr>
                <w:rFonts w:hint="eastAsia" w:ascii="宋体" w:hAnsi="宋体"/>
                <w:szCs w:val="21"/>
              </w:rPr>
              <w:t>法人或其他组织</w:t>
            </w:r>
          </w:p>
        </w:tc>
        <w:tc>
          <w:tcPr>
            <w:tcW w:w="5245" w:type="dxa"/>
            <w:gridSpan w:val="4"/>
            <w:noWrap w:val="0"/>
            <w:vAlign w:val="center"/>
          </w:tcPr>
          <w:p>
            <w:pPr>
              <w:spacing w:line="240" w:lineRule="atLeast"/>
              <w:rPr>
                <w:rFonts w:ascii="宋体" w:hAnsi="宋体"/>
                <w:szCs w:val="21"/>
              </w:rPr>
            </w:pPr>
            <w:r>
              <w:rPr>
                <w:rFonts w:hint="eastAsia" w:ascii="宋体" w:hAnsi="宋体"/>
                <w:szCs w:val="21"/>
              </w:rPr>
              <w:t>最近1年末净资产不低于2000万元人民币</w:t>
            </w:r>
          </w:p>
        </w:tc>
        <w:tc>
          <w:tcPr>
            <w:tcW w:w="992" w:type="dxa"/>
            <w:noWrap w:val="0"/>
            <w:vAlign w:val="center"/>
          </w:tcPr>
          <w:p>
            <w:pPr>
              <w:spacing w:line="240" w:lineRule="atLeast"/>
              <w:rPr>
                <w:rFonts w:ascii="宋体" w:hAnsi="宋体"/>
                <w:szCs w:val="21"/>
              </w:rPr>
            </w:pPr>
            <w:r>
              <w:rPr>
                <w:rFonts w:hint="eastAsia" w:ascii="宋体" w:hAnsi="宋体"/>
                <w:szCs w:val="21"/>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411" w:hRule="atLeast"/>
        </w:trPr>
        <w:tc>
          <w:tcPr>
            <w:tcW w:w="852" w:type="dxa"/>
            <w:vMerge w:val="continue"/>
            <w:noWrap w:val="0"/>
            <w:vAlign w:val="top"/>
          </w:tcPr>
          <w:p>
            <w:pPr>
              <w:spacing w:line="240" w:lineRule="atLeast"/>
              <w:jc w:val="center"/>
              <w:rPr>
                <w:rFonts w:ascii="宋体" w:hAnsi="宋体"/>
                <w:szCs w:val="21"/>
              </w:rPr>
            </w:pPr>
          </w:p>
        </w:tc>
        <w:tc>
          <w:tcPr>
            <w:tcW w:w="1842" w:type="dxa"/>
            <w:vMerge w:val="continue"/>
            <w:noWrap w:val="0"/>
            <w:vAlign w:val="top"/>
          </w:tcPr>
          <w:p>
            <w:pPr>
              <w:spacing w:line="240" w:lineRule="atLeast"/>
              <w:jc w:val="center"/>
              <w:rPr>
                <w:rFonts w:ascii="宋体" w:hAnsi="宋体"/>
                <w:szCs w:val="21"/>
              </w:rPr>
            </w:pPr>
          </w:p>
        </w:tc>
        <w:tc>
          <w:tcPr>
            <w:tcW w:w="851" w:type="dxa"/>
            <w:vMerge w:val="continue"/>
            <w:noWrap w:val="0"/>
            <w:vAlign w:val="center"/>
          </w:tcPr>
          <w:p>
            <w:pPr>
              <w:spacing w:line="240" w:lineRule="atLeast"/>
              <w:jc w:val="center"/>
              <w:rPr>
                <w:rFonts w:ascii="宋体" w:hAnsi="宋体"/>
                <w:szCs w:val="21"/>
              </w:rPr>
            </w:pPr>
          </w:p>
        </w:tc>
        <w:tc>
          <w:tcPr>
            <w:tcW w:w="5245" w:type="dxa"/>
            <w:gridSpan w:val="4"/>
            <w:noWrap w:val="0"/>
            <w:vAlign w:val="center"/>
          </w:tcPr>
          <w:p>
            <w:pPr>
              <w:spacing w:line="240" w:lineRule="atLeast"/>
              <w:rPr>
                <w:rFonts w:ascii="宋体" w:hAnsi="宋体"/>
                <w:szCs w:val="21"/>
              </w:rPr>
            </w:pPr>
            <w:r>
              <w:rPr>
                <w:rFonts w:hint="eastAsia" w:ascii="宋体" w:hAnsi="宋体"/>
                <w:szCs w:val="21"/>
              </w:rPr>
              <w:t>最近1年末金融资产不低于1000万元人民币</w:t>
            </w:r>
          </w:p>
        </w:tc>
        <w:tc>
          <w:tcPr>
            <w:tcW w:w="992" w:type="dxa"/>
            <w:noWrap w:val="0"/>
            <w:vAlign w:val="center"/>
          </w:tcPr>
          <w:p>
            <w:pPr>
              <w:spacing w:line="240" w:lineRule="atLeast"/>
              <w:rPr>
                <w:rFonts w:ascii="宋体" w:hAnsi="宋体"/>
                <w:szCs w:val="21"/>
              </w:rPr>
            </w:pPr>
            <w:r>
              <w:rPr>
                <w:rFonts w:hint="eastAsia" w:ascii="宋体" w:hAnsi="宋体"/>
                <w:szCs w:val="21"/>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664" w:hRule="atLeast"/>
        </w:trPr>
        <w:tc>
          <w:tcPr>
            <w:tcW w:w="852" w:type="dxa"/>
            <w:vMerge w:val="continue"/>
            <w:noWrap w:val="0"/>
            <w:vAlign w:val="top"/>
          </w:tcPr>
          <w:p>
            <w:pPr>
              <w:spacing w:line="240" w:lineRule="atLeast"/>
              <w:jc w:val="center"/>
              <w:rPr>
                <w:rFonts w:ascii="宋体" w:hAnsi="宋体"/>
                <w:szCs w:val="21"/>
              </w:rPr>
            </w:pPr>
          </w:p>
        </w:tc>
        <w:tc>
          <w:tcPr>
            <w:tcW w:w="1842" w:type="dxa"/>
            <w:vMerge w:val="continue"/>
            <w:noWrap w:val="0"/>
            <w:vAlign w:val="top"/>
          </w:tcPr>
          <w:p>
            <w:pPr>
              <w:spacing w:line="240" w:lineRule="atLeast"/>
              <w:jc w:val="center"/>
              <w:rPr>
                <w:rFonts w:ascii="宋体" w:hAnsi="宋体"/>
                <w:szCs w:val="21"/>
              </w:rPr>
            </w:pPr>
          </w:p>
        </w:tc>
        <w:tc>
          <w:tcPr>
            <w:tcW w:w="851" w:type="dxa"/>
            <w:vMerge w:val="continue"/>
            <w:noWrap w:val="0"/>
            <w:vAlign w:val="center"/>
          </w:tcPr>
          <w:p>
            <w:pPr>
              <w:spacing w:line="240" w:lineRule="atLeast"/>
              <w:jc w:val="center"/>
              <w:rPr>
                <w:rFonts w:ascii="宋体" w:hAnsi="宋体"/>
                <w:szCs w:val="21"/>
              </w:rPr>
            </w:pPr>
          </w:p>
        </w:tc>
        <w:tc>
          <w:tcPr>
            <w:tcW w:w="5245" w:type="dxa"/>
            <w:gridSpan w:val="4"/>
            <w:noWrap w:val="0"/>
            <w:vAlign w:val="center"/>
          </w:tcPr>
          <w:p>
            <w:pPr>
              <w:spacing w:line="240" w:lineRule="atLeast"/>
              <w:rPr>
                <w:rFonts w:ascii="宋体" w:hAnsi="宋体"/>
                <w:szCs w:val="21"/>
              </w:rPr>
            </w:pPr>
            <w:r>
              <w:rPr>
                <w:rFonts w:hint="eastAsia" w:ascii="宋体" w:hAnsi="宋体"/>
                <w:szCs w:val="21"/>
              </w:rPr>
              <w:t>具有2年及以上从事证券、基金、期货、黄金、外汇等投资经历</w:t>
            </w:r>
          </w:p>
        </w:tc>
        <w:tc>
          <w:tcPr>
            <w:tcW w:w="992" w:type="dxa"/>
            <w:noWrap w:val="0"/>
            <w:vAlign w:val="center"/>
          </w:tcPr>
          <w:p>
            <w:pPr>
              <w:spacing w:line="240" w:lineRule="atLeast"/>
              <w:rPr>
                <w:rFonts w:ascii="宋体" w:hAnsi="宋体"/>
                <w:szCs w:val="21"/>
              </w:rPr>
            </w:pPr>
            <w:r>
              <w:rPr>
                <w:rFonts w:hint="eastAsia" w:ascii="宋体" w:hAnsi="宋体"/>
                <w:szCs w:val="21"/>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909" w:hRule="atLeast"/>
        </w:trPr>
        <w:tc>
          <w:tcPr>
            <w:tcW w:w="852" w:type="dxa"/>
            <w:vMerge w:val="continue"/>
            <w:noWrap w:val="0"/>
            <w:vAlign w:val="top"/>
          </w:tcPr>
          <w:p>
            <w:pPr>
              <w:spacing w:line="240" w:lineRule="atLeast"/>
              <w:jc w:val="center"/>
              <w:rPr>
                <w:rFonts w:ascii="宋体" w:hAnsi="宋体"/>
                <w:szCs w:val="21"/>
              </w:rPr>
            </w:pPr>
          </w:p>
        </w:tc>
        <w:tc>
          <w:tcPr>
            <w:tcW w:w="1842" w:type="dxa"/>
            <w:vMerge w:val="continue"/>
            <w:noWrap w:val="0"/>
            <w:vAlign w:val="top"/>
          </w:tcPr>
          <w:p>
            <w:pPr>
              <w:spacing w:line="240" w:lineRule="atLeast"/>
              <w:jc w:val="center"/>
              <w:rPr>
                <w:rFonts w:ascii="宋体" w:hAnsi="宋体"/>
                <w:szCs w:val="21"/>
              </w:rPr>
            </w:pPr>
          </w:p>
        </w:tc>
        <w:tc>
          <w:tcPr>
            <w:tcW w:w="851" w:type="dxa"/>
            <w:vMerge w:val="restart"/>
            <w:noWrap w:val="0"/>
            <w:vAlign w:val="center"/>
          </w:tcPr>
          <w:p>
            <w:pPr>
              <w:spacing w:line="240" w:lineRule="atLeast"/>
              <w:jc w:val="center"/>
              <w:rPr>
                <w:rFonts w:ascii="宋体" w:hAnsi="宋体"/>
                <w:szCs w:val="21"/>
              </w:rPr>
            </w:pPr>
            <w:r>
              <w:rPr>
                <w:rFonts w:hint="eastAsia" w:ascii="宋体" w:hAnsi="宋体"/>
                <w:szCs w:val="21"/>
              </w:rPr>
              <w:t>自然人</w:t>
            </w:r>
          </w:p>
        </w:tc>
        <w:tc>
          <w:tcPr>
            <w:tcW w:w="5245" w:type="dxa"/>
            <w:gridSpan w:val="4"/>
            <w:noWrap w:val="0"/>
            <w:vAlign w:val="center"/>
          </w:tcPr>
          <w:p>
            <w:pPr>
              <w:spacing w:line="240" w:lineRule="atLeast"/>
              <w:rPr>
                <w:rFonts w:ascii="宋体" w:hAnsi="宋体"/>
                <w:szCs w:val="21"/>
              </w:rPr>
            </w:pPr>
            <w:r>
              <w:rPr>
                <w:rFonts w:hint="eastAsia" w:ascii="宋体" w:hAnsi="宋体"/>
                <w:szCs w:val="21"/>
              </w:rPr>
              <w:t>金融类资产不低于500万元人民币，或者最近3年个人年均收入不低于50万元</w:t>
            </w:r>
          </w:p>
        </w:tc>
        <w:tc>
          <w:tcPr>
            <w:tcW w:w="992" w:type="dxa"/>
            <w:noWrap w:val="0"/>
            <w:vAlign w:val="center"/>
          </w:tcPr>
          <w:p>
            <w:pPr>
              <w:spacing w:line="240" w:lineRule="atLeast"/>
              <w:rPr>
                <w:rFonts w:ascii="宋体" w:hAnsi="宋体"/>
                <w:szCs w:val="21"/>
              </w:rPr>
            </w:pPr>
            <w:r>
              <w:rPr>
                <w:rFonts w:hint="eastAsia" w:ascii="宋体" w:hAnsi="宋体"/>
                <w:szCs w:val="21"/>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909" w:hRule="atLeast"/>
        </w:trPr>
        <w:tc>
          <w:tcPr>
            <w:tcW w:w="852" w:type="dxa"/>
            <w:vMerge w:val="continue"/>
            <w:noWrap w:val="0"/>
            <w:vAlign w:val="top"/>
          </w:tcPr>
          <w:p>
            <w:pPr>
              <w:spacing w:line="240" w:lineRule="atLeast"/>
              <w:jc w:val="center"/>
              <w:rPr>
                <w:rFonts w:ascii="宋体" w:hAnsi="宋体"/>
                <w:szCs w:val="21"/>
              </w:rPr>
            </w:pPr>
          </w:p>
        </w:tc>
        <w:tc>
          <w:tcPr>
            <w:tcW w:w="1842" w:type="dxa"/>
            <w:vMerge w:val="continue"/>
            <w:noWrap w:val="0"/>
            <w:vAlign w:val="top"/>
          </w:tcPr>
          <w:p>
            <w:pPr>
              <w:spacing w:line="240" w:lineRule="atLeast"/>
              <w:jc w:val="center"/>
              <w:rPr>
                <w:rFonts w:ascii="宋体" w:hAnsi="宋体"/>
                <w:szCs w:val="21"/>
              </w:rPr>
            </w:pPr>
          </w:p>
        </w:tc>
        <w:tc>
          <w:tcPr>
            <w:tcW w:w="851" w:type="dxa"/>
            <w:vMerge w:val="continue"/>
            <w:noWrap w:val="0"/>
            <w:vAlign w:val="center"/>
          </w:tcPr>
          <w:p>
            <w:pPr>
              <w:spacing w:line="240" w:lineRule="atLeast"/>
              <w:jc w:val="center"/>
              <w:rPr>
                <w:rFonts w:ascii="宋体" w:hAnsi="宋体"/>
                <w:szCs w:val="21"/>
              </w:rPr>
            </w:pPr>
          </w:p>
        </w:tc>
        <w:tc>
          <w:tcPr>
            <w:tcW w:w="5245" w:type="dxa"/>
            <w:gridSpan w:val="4"/>
            <w:noWrap w:val="0"/>
            <w:vAlign w:val="center"/>
          </w:tcPr>
          <w:p>
            <w:pPr>
              <w:spacing w:line="240" w:lineRule="atLeast"/>
              <w:rPr>
                <w:rFonts w:ascii="宋体" w:hAnsi="宋体"/>
                <w:szCs w:val="21"/>
              </w:rPr>
            </w:pPr>
            <w:r>
              <w:rPr>
                <w:rFonts w:hint="eastAsia" w:ascii="宋体" w:hAnsi="宋体"/>
                <w:szCs w:val="21"/>
              </w:rPr>
              <w:t>具有2年及以上从事证券、基金、期货、黄金、外汇等投资经历，或者具有2年以上金融产品设计、投资、风险管理及相关工作经历，或者属于《办法》第八条第一项规定的专业投资者的高级管理人员、获得职业资格认证的从事金融相关业务的注册会计师和律师</w:t>
            </w:r>
          </w:p>
        </w:tc>
        <w:tc>
          <w:tcPr>
            <w:tcW w:w="992" w:type="dxa"/>
            <w:noWrap w:val="0"/>
            <w:vAlign w:val="center"/>
          </w:tcPr>
          <w:p>
            <w:pPr>
              <w:spacing w:line="240" w:lineRule="atLeast"/>
              <w:rPr>
                <w:rFonts w:ascii="宋体" w:hAnsi="宋体"/>
                <w:szCs w:val="21"/>
              </w:rPr>
            </w:pPr>
            <w:r>
              <w:rPr>
                <w:rFonts w:hint="eastAsia" w:ascii="宋体" w:hAnsi="宋体"/>
                <w:szCs w:val="21"/>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436" w:hRule="atLeast"/>
        </w:trPr>
        <w:tc>
          <w:tcPr>
            <w:tcW w:w="852" w:type="dxa"/>
            <w:vMerge w:val="continue"/>
            <w:noWrap w:val="0"/>
            <w:vAlign w:val="top"/>
          </w:tcPr>
          <w:p>
            <w:pPr>
              <w:spacing w:line="240" w:lineRule="atLeast"/>
              <w:jc w:val="center"/>
              <w:rPr>
                <w:rFonts w:ascii="宋体" w:hAnsi="宋体"/>
                <w:szCs w:val="21"/>
              </w:rPr>
            </w:pPr>
          </w:p>
        </w:tc>
        <w:tc>
          <w:tcPr>
            <w:tcW w:w="1842" w:type="dxa"/>
            <w:vMerge w:val="restart"/>
            <w:noWrap w:val="0"/>
            <w:vAlign w:val="center"/>
          </w:tcPr>
          <w:p>
            <w:pPr>
              <w:spacing w:line="240" w:lineRule="atLeast"/>
              <w:jc w:val="center"/>
              <w:rPr>
                <w:rFonts w:ascii="宋体" w:hAnsi="宋体"/>
                <w:szCs w:val="21"/>
              </w:rPr>
            </w:pPr>
            <w:r>
              <w:rPr>
                <w:rFonts w:hint="eastAsia" w:ascii="宋体" w:hAnsi="宋体"/>
                <w:szCs w:val="21"/>
              </w:rPr>
              <w:t>符合《办法》第十一条规定的投资者</w:t>
            </w:r>
          </w:p>
        </w:tc>
        <w:tc>
          <w:tcPr>
            <w:tcW w:w="851" w:type="dxa"/>
            <w:vMerge w:val="restart"/>
            <w:noWrap w:val="0"/>
            <w:vAlign w:val="center"/>
          </w:tcPr>
          <w:p>
            <w:pPr>
              <w:spacing w:line="240" w:lineRule="atLeast"/>
              <w:jc w:val="left"/>
              <w:rPr>
                <w:rFonts w:ascii="宋体" w:hAnsi="宋体"/>
                <w:szCs w:val="21"/>
              </w:rPr>
            </w:pPr>
            <w:r>
              <w:rPr>
                <w:rFonts w:hint="eastAsia" w:ascii="宋体" w:hAnsi="宋体"/>
                <w:szCs w:val="21"/>
              </w:rPr>
              <w:t>法人或其他组织</w:t>
            </w:r>
          </w:p>
        </w:tc>
        <w:tc>
          <w:tcPr>
            <w:tcW w:w="5245" w:type="dxa"/>
            <w:gridSpan w:val="4"/>
            <w:noWrap w:val="0"/>
            <w:vAlign w:val="center"/>
          </w:tcPr>
          <w:p>
            <w:pPr>
              <w:spacing w:line="240" w:lineRule="atLeast"/>
              <w:rPr>
                <w:rFonts w:ascii="宋体" w:hAnsi="宋体"/>
                <w:szCs w:val="21"/>
              </w:rPr>
            </w:pPr>
            <w:r>
              <w:rPr>
                <w:rFonts w:hint="eastAsia" w:ascii="宋体" w:hAnsi="宋体"/>
                <w:szCs w:val="21"/>
              </w:rPr>
              <w:t>最近1年末净资产不低于1000万元人民币</w:t>
            </w:r>
          </w:p>
        </w:tc>
        <w:tc>
          <w:tcPr>
            <w:tcW w:w="992" w:type="dxa"/>
            <w:noWrap w:val="0"/>
            <w:vAlign w:val="center"/>
          </w:tcPr>
          <w:p>
            <w:pPr>
              <w:spacing w:line="240" w:lineRule="atLeast"/>
              <w:jc w:val="center"/>
              <w:rPr>
                <w:rFonts w:ascii="宋体" w:hAnsi="宋体"/>
                <w:szCs w:val="21"/>
              </w:rPr>
            </w:pPr>
            <w:r>
              <w:rPr>
                <w:rFonts w:hint="eastAsia" w:ascii="宋体" w:hAnsi="宋体"/>
                <w:szCs w:val="21"/>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501" w:hRule="atLeast"/>
        </w:trPr>
        <w:tc>
          <w:tcPr>
            <w:tcW w:w="852" w:type="dxa"/>
            <w:vMerge w:val="continue"/>
            <w:noWrap w:val="0"/>
            <w:vAlign w:val="top"/>
          </w:tcPr>
          <w:p>
            <w:pPr>
              <w:spacing w:line="240" w:lineRule="atLeast"/>
              <w:jc w:val="center"/>
              <w:rPr>
                <w:rFonts w:ascii="宋体" w:hAnsi="宋体"/>
                <w:szCs w:val="21"/>
              </w:rPr>
            </w:pPr>
          </w:p>
        </w:tc>
        <w:tc>
          <w:tcPr>
            <w:tcW w:w="1842" w:type="dxa"/>
            <w:vMerge w:val="continue"/>
            <w:noWrap w:val="0"/>
            <w:vAlign w:val="top"/>
          </w:tcPr>
          <w:p>
            <w:pPr>
              <w:spacing w:line="240" w:lineRule="atLeast"/>
              <w:jc w:val="center"/>
              <w:rPr>
                <w:rFonts w:ascii="宋体" w:hAnsi="宋体"/>
                <w:szCs w:val="21"/>
              </w:rPr>
            </w:pPr>
          </w:p>
        </w:tc>
        <w:tc>
          <w:tcPr>
            <w:tcW w:w="851" w:type="dxa"/>
            <w:vMerge w:val="continue"/>
            <w:noWrap w:val="0"/>
            <w:vAlign w:val="center"/>
          </w:tcPr>
          <w:p>
            <w:pPr>
              <w:spacing w:line="240" w:lineRule="atLeast"/>
              <w:jc w:val="center"/>
              <w:rPr>
                <w:rFonts w:ascii="宋体" w:hAnsi="宋体"/>
                <w:szCs w:val="21"/>
              </w:rPr>
            </w:pPr>
          </w:p>
        </w:tc>
        <w:tc>
          <w:tcPr>
            <w:tcW w:w="5245" w:type="dxa"/>
            <w:gridSpan w:val="4"/>
            <w:noWrap w:val="0"/>
            <w:vAlign w:val="center"/>
          </w:tcPr>
          <w:p>
            <w:pPr>
              <w:spacing w:line="240" w:lineRule="atLeast"/>
              <w:rPr>
                <w:rFonts w:ascii="宋体" w:hAnsi="宋体"/>
                <w:szCs w:val="21"/>
              </w:rPr>
            </w:pPr>
            <w:r>
              <w:rPr>
                <w:rFonts w:hint="eastAsia" w:ascii="宋体" w:hAnsi="宋体"/>
                <w:szCs w:val="21"/>
              </w:rPr>
              <w:t>最近1年末金融资产不低于500万元人民币</w:t>
            </w:r>
          </w:p>
        </w:tc>
        <w:tc>
          <w:tcPr>
            <w:tcW w:w="992" w:type="dxa"/>
            <w:noWrap w:val="0"/>
            <w:vAlign w:val="center"/>
          </w:tcPr>
          <w:p>
            <w:pPr>
              <w:spacing w:line="240" w:lineRule="atLeast"/>
              <w:jc w:val="center"/>
              <w:rPr>
                <w:rFonts w:ascii="宋体" w:hAnsi="宋体"/>
                <w:szCs w:val="21"/>
              </w:rPr>
            </w:pPr>
            <w:r>
              <w:rPr>
                <w:rFonts w:hint="eastAsia" w:ascii="宋体" w:hAnsi="宋体"/>
                <w:szCs w:val="21"/>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565" w:hRule="atLeast"/>
        </w:trPr>
        <w:tc>
          <w:tcPr>
            <w:tcW w:w="852" w:type="dxa"/>
            <w:vMerge w:val="continue"/>
            <w:noWrap w:val="0"/>
            <w:vAlign w:val="top"/>
          </w:tcPr>
          <w:p>
            <w:pPr>
              <w:spacing w:line="240" w:lineRule="atLeast"/>
              <w:jc w:val="center"/>
              <w:rPr>
                <w:rFonts w:ascii="宋体" w:hAnsi="宋体"/>
                <w:szCs w:val="21"/>
              </w:rPr>
            </w:pPr>
          </w:p>
        </w:tc>
        <w:tc>
          <w:tcPr>
            <w:tcW w:w="1842" w:type="dxa"/>
            <w:vMerge w:val="continue"/>
            <w:noWrap w:val="0"/>
            <w:vAlign w:val="top"/>
          </w:tcPr>
          <w:p>
            <w:pPr>
              <w:spacing w:line="240" w:lineRule="atLeast"/>
              <w:jc w:val="center"/>
              <w:rPr>
                <w:rFonts w:ascii="宋体" w:hAnsi="宋体"/>
                <w:szCs w:val="21"/>
              </w:rPr>
            </w:pPr>
          </w:p>
        </w:tc>
        <w:tc>
          <w:tcPr>
            <w:tcW w:w="851" w:type="dxa"/>
            <w:vMerge w:val="continue"/>
            <w:noWrap w:val="0"/>
            <w:vAlign w:val="center"/>
          </w:tcPr>
          <w:p>
            <w:pPr>
              <w:spacing w:line="240" w:lineRule="atLeast"/>
              <w:jc w:val="center"/>
              <w:rPr>
                <w:rFonts w:ascii="宋体" w:hAnsi="宋体"/>
                <w:szCs w:val="21"/>
              </w:rPr>
            </w:pPr>
          </w:p>
        </w:tc>
        <w:tc>
          <w:tcPr>
            <w:tcW w:w="5245" w:type="dxa"/>
            <w:gridSpan w:val="4"/>
            <w:noWrap w:val="0"/>
            <w:vAlign w:val="center"/>
          </w:tcPr>
          <w:p>
            <w:pPr>
              <w:spacing w:line="240" w:lineRule="atLeast"/>
              <w:rPr>
                <w:rFonts w:ascii="宋体" w:hAnsi="宋体"/>
                <w:szCs w:val="21"/>
              </w:rPr>
            </w:pPr>
            <w:r>
              <w:rPr>
                <w:rFonts w:hint="eastAsia" w:ascii="宋体" w:hAnsi="宋体"/>
                <w:szCs w:val="21"/>
              </w:rPr>
              <w:t>具有1年及以上从事证券、基金、期货、黄金、外汇等投资经历</w:t>
            </w:r>
          </w:p>
        </w:tc>
        <w:tc>
          <w:tcPr>
            <w:tcW w:w="992" w:type="dxa"/>
            <w:noWrap w:val="0"/>
            <w:vAlign w:val="center"/>
          </w:tcPr>
          <w:p>
            <w:pPr>
              <w:spacing w:line="240" w:lineRule="atLeast"/>
              <w:jc w:val="center"/>
              <w:rPr>
                <w:rFonts w:ascii="宋体" w:hAnsi="宋体"/>
                <w:szCs w:val="21"/>
              </w:rPr>
            </w:pPr>
            <w:r>
              <w:rPr>
                <w:rFonts w:hint="eastAsia" w:ascii="宋体" w:hAnsi="宋体"/>
                <w:szCs w:val="21"/>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565" w:hRule="atLeast"/>
        </w:trPr>
        <w:tc>
          <w:tcPr>
            <w:tcW w:w="852" w:type="dxa"/>
            <w:vMerge w:val="continue"/>
            <w:noWrap w:val="0"/>
            <w:vAlign w:val="top"/>
          </w:tcPr>
          <w:p>
            <w:pPr>
              <w:spacing w:line="240" w:lineRule="atLeast"/>
              <w:jc w:val="center"/>
              <w:rPr>
                <w:rFonts w:ascii="宋体" w:hAnsi="宋体"/>
                <w:szCs w:val="21"/>
              </w:rPr>
            </w:pPr>
          </w:p>
        </w:tc>
        <w:tc>
          <w:tcPr>
            <w:tcW w:w="1842" w:type="dxa"/>
            <w:vMerge w:val="continue"/>
            <w:noWrap w:val="0"/>
            <w:vAlign w:val="top"/>
          </w:tcPr>
          <w:p>
            <w:pPr>
              <w:spacing w:line="240" w:lineRule="atLeast"/>
              <w:jc w:val="center"/>
              <w:rPr>
                <w:rFonts w:ascii="宋体" w:hAnsi="宋体"/>
                <w:szCs w:val="21"/>
              </w:rPr>
            </w:pPr>
          </w:p>
        </w:tc>
        <w:tc>
          <w:tcPr>
            <w:tcW w:w="851" w:type="dxa"/>
            <w:vMerge w:val="restart"/>
            <w:noWrap w:val="0"/>
            <w:vAlign w:val="center"/>
          </w:tcPr>
          <w:p>
            <w:pPr>
              <w:spacing w:line="240" w:lineRule="atLeast"/>
              <w:jc w:val="center"/>
              <w:rPr>
                <w:rFonts w:ascii="宋体" w:hAnsi="宋体"/>
                <w:szCs w:val="21"/>
              </w:rPr>
            </w:pPr>
            <w:r>
              <w:rPr>
                <w:rFonts w:hint="eastAsia" w:ascii="宋体" w:hAnsi="宋体"/>
                <w:szCs w:val="21"/>
              </w:rPr>
              <w:t>自然人</w:t>
            </w:r>
          </w:p>
        </w:tc>
        <w:tc>
          <w:tcPr>
            <w:tcW w:w="5245" w:type="dxa"/>
            <w:gridSpan w:val="4"/>
            <w:noWrap w:val="0"/>
            <w:vAlign w:val="center"/>
          </w:tcPr>
          <w:p>
            <w:pPr>
              <w:rPr>
                <w:rFonts w:ascii="宋体" w:hAnsi="宋体"/>
                <w:szCs w:val="21"/>
              </w:rPr>
            </w:pPr>
            <w:r>
              <w:rPr>
                <w:rFonts w:hint="eastAsia" w:ascii="宋体" w:hAnsi="宋体"/>
                <w:szCs w:val="21"/>
              </w:rPr>
              <w:t>金融类资产不低于300万元人民币，或者最近3年个人年均收入不低于30万元</w:t>
            </w:r>
          </w:p>
        </w:tc>
        <w:tc>
          <w:tcPr>
            <w:tcW w:w="992" w:type="dxa"/>
            <w:noWrap w:val="0"/>
            <w:vAlign w:val="center"/>
          </w:tcPr>
          <w:p>
            <w:pPr>
              <w:spacing w:line="240" w:lineRule="atLeast"/>
              <w:jc w:val="center"/>
              <w:rPr>
                <w:rFonts w:ascii="宋体" w:hAnsi="宋体"/>
                <w:szCs w:val="21"/>
              </w:rPr>
            </w:pPr>
            <w:r>
              <w:rPr>
                <w:rFonts w:hint="eastAsia" w:ascii="宋体" w:hAnsi="宋体"/>
                <w:szCs w:val="21"/>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565" w:hRule="atLeast"/>
        </w:trPr>
        <w:tc>
          <w:tcPr>
            <w:tcW w:w="852" w:type="dxa"/>
            <w:vMerge w:val="continue"/>
            <w:noWrap w:val="0"/>
            <w:vAlign w:val="top"/>
          </w:tcPr>
          <w:p>
            <w:pPr>
              <w:spacing w:line="240" w:lineRule="atLeast"/>
              <w:jc w:val="center"/>
              <w:rPr>
                <w:rFonts w:ascii="宋体" w:hAnsi="宋体"/>
                <w:szCs w:val="21"/>
              </w:rPr>
            </w:pPr>
          </w:p>
        </w:tc>
        <w:tc>
          <w:tcPr>
            <w:tcW w:w="1842" w:type="dxa"/>
            <w:vMerge w:val="continue"/>
            <w:noWrap w:val="0"/>
            <w:vAlign w:val="top"/>
          </w:tcPr>
          <w:p>
            <w:pPr>
              <w:spacing w:line="240" w:lineRule="atLeast"/>
              <w:jc w:val="center"/>
              <w:rPr>
                <w:rFonts w:ascii="宋体" w:hAnsi="宋体"/>
                <w:szCs w:val="21"/>
              </w:rPr>
            </w:pPr>
          </w:p>
        </w:tc>
        <w:tc>
          <w:tcPr>
            <w:tcW w:w="851" w:type="dxa"/>
            <w:vMerge w:val="continue"/>
            <w:noWrap w:val="0"/>
            <w:vAlign w:val="center"/>
          </w:tcPr>
          <w:p>
            <w:pPr>
              <w:spacing w:line="240" w:lineRule="atLeast"/>
              <w:jc w:val="center"/>
              <w:rPr>
                <w:rFonts w:ascii="宋体" w:hAnsi="宋体"/>
                <w:szCs w:val="21"/>
              </w:rPr>
            </w:pPr>
          </w:p>
        </w:tc>
        <w:tc>
          <w:tcPr>
            <w:tcW w:w="5245" w:type="dxa"/>
            <w:gridSpan w:val="4"/>
            <w:noWrap w:val="0"/>
            <w:vAlign w:val="center"/>
          </w:tcPr>
          <w:p>
            <w:pPr>
              <w:spacing w:line="240" w:lineRule="atLeast"/>
              <w:rPr>
                <w:rFonts w:ascii="宋体" w:hAnsi="宋体"/>
                <w:szCs w:val="21"/>
              </w:rPr>
            </w:pPr>
            <w:r>
              <w:rPr>
                <w:rFonts w:hint="eastAsia" w:ascii="宋体" w:hAnsi="宋体"/>
                <w:szCs w:val="21"/>
              </w:rPr>
              <w:t>具有1年及以上从事证券、基金、期货、黄金、外汇等投资经历，或者具有1年以上金融产品设计、投资、风险管理及相关工作经历</w:t>
            </w:r>
          </w:p>
        </w:tc>
        <w:tc>
          <w:tcPr>
            <w:tcW w:w="992" w:type="dxa"/>
            <w:noWrap w:val="0"/>
            <w:vAlign w:val="center"/>
          </w:tcPr>
          <w:p>
            <w:pPr>
              <w:spacing w:line="240" w:lineRule="atLeast"/>
              <w:jc w:val="center"/>
              <w:rPr>
                <w:rFonts w:ascii="宋体" w:hAnsi="宋体"/>
                <w:szCs w:val="21"/>
              </w:rPr>
            </w:pPr>
            <w:r>
              <w:rPr>
                <w:rFonts w:hint="eastAsia" w:ascii="宋体" w:hAnsi="宋体"/>
                <w:szCs w:val="21"/>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1619" w:hRule="atLeast"/>
        </w:trPr>
        <w:tc>
          <w:tcPr>
            <w:tcW w:w="852" w:type="dxa"/>
            <w:vMerge w:val="continue"/>
            <w:noWrap w:val="0"/>
            <w:vAlign w:val="top"/>
          </w:tcPr>
          <w:p>
            <w:pPr>
              <w:spacing w:line="240" w:lineRule="atLeast"/>
              <w:jc w:val="center"/>
              <w:rPr>
                <w:rFonts w:ascii="宋体" w:hAnsi="宋体"/>
                <w:szCs w:val="21"/>
              </w:rPr>
            </w:pPr>
          </w:p>
        </w:tc>
        <w:tc>
          <w:tcPr>
            <w:tcW w:w="1842" w:type="dxa"/>
            <w:noWrap w:val="0"/>
            <w:vAlign w:val="top"/>
          </w:tcPr>
          <w:p>
            <w:pPr>
              <w:spacing w:line="240" w:lineRule="atLeast"/>
              <w:rPr>
                <w:rFonts w:ascii="宋体" w:hAnsi="宋体"/>
                <w:szCs w:val="21"/>
              </w:rPr>
            </w:pPr>
          </w:p>
        </w:tc>
        <w:tc>
          <w:tcPr>
            <w:tcW w:w="7088" w:type="dxa"/>
            <w:gridSpan w:val="6"/>
            <w:noWrap w:val="0"/>
            <w:vAlign w:val="top"/>
          </w:tcPr>
          <w:p>
            <w:pPr>
              <w:spacing w:line="240" w:lineRule="atLeast"/>
              <w:rPr>
                <w:rFonts w:ascii="宋体" w:hAnsi="宋体"/>
                <w:szCs w:val="21"/>
              </w:rPr>
            </w:pPr>
          </w:p>
          <w:p>
            <w:pPr>
              <w:spacing w:line="240" w:lineRule="atLeast"/>
              <w:ind w:firstLine="420" w:firstLineChars="200"/>
              <w:rPr>
                <w:rFonts w:ascii="宋体" w:hAnsi="宋体"/>
                <w:szCs w:val="21"/>
              </w:rPr>
            </w:pPr>
          </w:p>
          <w:p>
            <w:pPr>
              <w:spacing w:line="240" w:lineRule="atLeast"/>
              <w:ind w:firstLine="420" w:firstLineChars="200"/>
              <w:rPr>
                <w:rFonts w:ascii="宋体" w:hAnsi="宋体"/>
                <w:szCs w:val="21"/>
              </w:rPr>
            </w:pPr>
            <w:r>
              <w:rPr>
                <w:rFonts w:hint="eastAsia" w:ascii="宋体" w:hAnsi="宋体"/>
                <w:szCs w:val="21"/>
              </w:rPr>
              <w:t xml:space="preserve">复核人（一）：                          复核人（二）：                        </w:t>
            </w:r>
          </w:p>
          <w:p>
            <w:pPr>
              <w:spacing w:line="240" w:lineRule="atLeast"/>
              <w:ind w:firstLine="420" w:firstLineChars="200"/>
              <w:rPr>
                <w:rFonts w:ascii="宋体" w:hAnsi="宋体"/>
                <w:szCs w:val="21"/>
              </w:rPr>
            </w:pPr>
            <w:r>
              <w:rPr>
                <w:rFonts w:hint="eastAsia" w:ascii="宋体" w:hAnsi="宋体"/>
                <w:szCs w:val="21"/>
              </w:rPr>
              <w:t>年   月   日                            年  月  日</w:t>
            </w:r>
          </w:p>
        </w:tc>
      </w:tr>
    </w:tbl>
    <w:p>
      <w:pPr>
        <w:spacing w:line="240" w:lineRule="atLeast"/>
        <w:rPr>
          <w:rFonts w:ascii="宋体" w:hAnsi="宋体"/>
          <w:b/>
          <w:sz w:val="24"/>
        </w:rPr>
      </w:pPr>
      <w:r>
        <w:rPr>
          <w:rFonts w:ascii="宋体" w:hAnsi="宋体"/>
          <w:sz w:val="24"/>
        </w:rPr>
        <w:br w:type="page"/>
      </w:r>
      <w:r>
        <w:rPr>
          <w:rFonts w:hint="eastAsia" w:ascii="宋体" w:hAnsi="宋体"/>
          <w:b/>
          <w:sz w:val="24"/>
        </w:rPr>
        <w:t>附件3：</w:t>
      </w:r>
    </w:p>
    <w:p>
      <w:pPr>
        <w:spacing w:line="240" w:lineRule="atLeast"/>
        <w:jc w:val="center"/>
        <w:rPr>
          <w:rFonts w:ascii="宋体" w:hAnsi="宋体"/>
          <w:b/>
          <w:sz w:val="24"/>
        </w:rPr>
      </w:pPr>
      <w:r>
        <w:rPr>
          <w:rFonts w:hint="eastAsia" w:ascii="宋体" w:hAnsi="宋体"/>
          <w:b/>
          <w:sz w:val="24"/>
        </w:rPr>
        <w:t>专业投资者告知及确认书</w:t>
      </w:r>
    </w:p>
    <w:tbl>
      <w:tblPr>
        <w:tblStyle w:val="36"/>
        <w:tblW w:w="9356" w:type="dxa"/>
        <w:tblInd w:w="-34"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93"/>
        <w:gridCol w:w="8363"/>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wBefore w:w="0" w:type="dxa"/>
          <w:wAfter w:w="0" w:type="dxa"/>
          <w:cantSplit/>
          <w:trHeight w:val="6349" w:hRule="atLeast"/>
        </w:trPr>
        <w:tc>
          <w:tcPr>
            <w:tcW w:w="993" w:type="dxa"/>
            <w:tcBorders>
              <w:right w:val="single" w:color="auto" w:sz="4" w:space="0"/>
            </w:tcBorders>
            <w:noWrap w:val="0"/>
            <w:textDirection w:val="tbRlV"/>
            <w:vAlign w:val="center"/>
          </w:tcPr>
          <w:p>
            <w:pPr>
              <w:spacing w:line="240" w:lineRule="atLeast"/>
              <w:ind w:left="113" w:right="113"/>
              <w:jc w:val="center"/>
              <w:rPr>
                <w:rFonts w:ascii="宋体" w:hAnsi="宋体"/>
                <w:szCs w:val="21"/>
              </w:rPr>
            </w:pPr>
            <w:r>
              <w:rPr>
                <w:rFonts w:hint="eastAsia" w:ascii="宋体" w:hAnsi="宋体"/>
                <w:szCs w:val="21"/>
              </w:rPr>
              <w:t>证券经营机构告知栏</w:t>
            </w:r>
          </w:p>
        </w:tc>
        <w:tc>
          <w:tcPr>
            <w:tcW w:w="8363" w:type="dxa"/>
            <w:tcBorders>
              <w:left w:val="single" w:color="auto" w:sz="4" w:space="0"/>
            </w:tcBorders>
            <w:noWrap w:val="0"/>
            <w:vAlign w:val="center"/>
          </w:tcPr>
          <w:p>
            <w:pPr>
              <w:snapToGrid w:val="0"/>
              <w:spacing w:line="240" w:lineRule="atLeast"/>
              <w:rPr>
                <w:rFonts w:ascii="宋体" w:hAnsi="宋体"/>
                <w:szCs w:val="21"/>
              </w:rPr>
            </w:pPr>
            <w:r>
              <w:rPr>
                <w:rFonts w:hint="eastAsia" w:ascii="宋体" w:hAnsi="宋体"/>
                <w:szCs w:val="21"/>
              </w:rPr>
              <w:t>尊敬的投资者（投资者姓名/名称:</w:t>
            </w:r>
            <w:r>
              <w:rPr>
                <w:rFonts w:hint="eastAsia" w:ascii="宋体" w:hAnsi="宋体"/>
                <w:szCs w:val="21"/>
                <w:u w:val="single"/>
              </w:rPr>
              <w:t xml:space="preserve">             </w:t>
            </w:r>
            <w:r>
              <w:rPr>
                <w:rFonts w:hint="eastAsia" w:ascii="宋体" w:hAnsi="宋体"/>
                <w:szCs w:val="21"/>
              </w:rPr>
              <w:t>，资金账号：</w:t>
            </w:r>
            <w:r>
              <w:rPr>
                <w:rFonts w:hint="eastAsia" w:ascii="宋体" w:hAnsi="宋体"/>
                <w:szCs w:val="21"/>
                <w:u w:val="single"/>
              </w:rPr>
              <w:t xml:space="preserve">         </w:t>
            </w:r>
            <w:r>
              <w:rPr>
                <w:rFonts w:hint="eastAsia" w:ascii="宋体" w:hAnsi="宋体"/>
                <w:szCs w:val="21"/>
              </w:rPr>
              <w:t>）：</w:t>
            </w:r>
          </w:p>
          <w:p>
            <w:pPr>
              <w:snapToGrid w:val="0"/>
              <w:spacing w:line="240" w:lineRule="atLeast"/>
              <w:ind w:firstLine="420" w:firstLineChars="200"/>
              <w:rPr>
                <w:rFonts w:ascii="宋体" w:hAnsi="宋体"/>
                <w:szCs w:val="21"/>
              </w:rPr>
            </w:pPr>
            <w:r>
              <w:rPr>
                <w:rFonts w:hint="eastAsia" w:ascii="宋体" w:hAnsi="宋体"/>
                <w:szCs w:val="21"/>
              </w:rPr>
              <w:t>根据您提供的财产状况、交易情况、工作经历等相关证明材料,经复核您被划分为专业投资者。现将有关事项告知如下,请您仔细阅读,并在投资者确认栏签字（签章）确认：</w:t>
            </w:r>
          </w:p>
          <w:p>
            <w:pPr>
              <w:snapToGrid w:val="0"/>
              <w:spacing w:line="240" w:lineRule="atLeast"/>
              <w:ind w:firstLine="420" w:firstLineChars="200"/>
              <w:rPr>
                <w:rFonts w:ascii="宋体" w:hAnsi="宋体"/>
                <w:b/>
                <w:szCs w:val="21"/>
              </w:rPr>
            </w:pPr>
            <w:r>
              <w:rPr>
                <w:rFonts w:hint="eastAsia" w:ascii="宋体" w:hAnsi="宋体"/>
                <w:b/>
                <w:szCs w:val="21"/>
              </w:rPr>
              <w:t>一、证券经营机构在向专业投资者销售产品或提供服务时，对专业投资者履行的适当性义务区别于其他投资者。</w:t>
            </w:r>
          </w:p>
          <w:p>
            <w:pPr>
              <w:snapToGrid w:val="0"/>
              <w:spacing w:line="240" w:lineRule="atLeast"/>
              <w:ind w:firstLine="420" w:firstLineChars="200"/>
              <w:rPr>
                <w:rFonts w:ascii="宋体" w:hAnsi="宋体"/>
                <w:b/>
                <w:szCs w:val="21"/>
              </w:rPr>
            </w:pPr>
            <w:r>
              <w:rPr>
                <w:rFonts w:hint="eastAsia" w:ascii="宋体" w:hAnsi="宋体"/>
                <w:b/>
                <w:szCs w:val="21"/>
              </w:rPr>
              <w:t>二、如您希望不再被划分为专业投资者，可向本公司提出申请。</w:t>
            </w:r>
          </w:p>
          <w:p>
            <w:pPr>
              <w:snapToGrid w:val="0"/>
              <w:spacing w:line="240" w:lineRule="atLeast"/>
              <w:ind w:firstLine="420" w:firstLineChars="200"/>
              <w:rPr>
                <w:rFonts w:ascii="宋体" w:hAnsi="宋体"/>
                <w:b/>
                <w:szCs w:val="21"/>
              </w:rPr>
            </w:pPr>
            <w:r>
              <w:rPr>
                <w:rFonts w:hint="eastAsia" w:ascii="宋体" w:hAnsi="宋体"/>
                <w:b/>
                <w:szCs w:val="21"/>
              </w:rPr>
              <w:t>三、当您的财产状况、交易情况、工作经历等信息发生重大变化时，请及时通知我公司，经复核如不再符合专业投资者的申请条件，将不再被划分为专业投资者。</w:t>
            </w:r>
          </w:p>
          <w:p>
            <w:pPr>
              <w:snapToGrid w:val="0"/>
              <w:spacing w:line="240" w:lineRule="atLeast"/>
              <w:ind w:firstLine="420" w:firstLineChars="200"/>
              <w:rPr>
                <w:rFonts w:ascii="宋体" w:hAnsi="宋体"/>
                <w:b/>
                <w:szCs w:val="21"/>
              </w:rPr>
            </w:pPr>
          </w:p>
          <w:p>
            <w:pPr>
              <w:snapToGrid w:val="0"/>
              <w:spacing w:line="240" w:lineRule="atLeast"/>
              <w:ind w:firstLine="420" w:firstLineChars="200"/>
              <w:rPr>
                <w:rFonts w:ascii="宋体" w:hAnsi="宋体"/>
                <w:b/>
                <w:szCs w:val="21"/>
              </w:rPr>
            </w:pPr>
          </w:p>
          <w:p>
            <w:pPr>
              <w:snapToGrid w:val="0"/>
              <w:spacing w:line="240" w:lineRule="atLeast"/>
              <w:rPr>
                <w:rFonts w:ascii="宋体" w:hAnsi="宋体"/>
                <w:b/>
                <w:szCs w:val="21"/>
              </w:rPr>
            </w:pPr>
          </w:p>
          <w:p>
            <w:pPr>
              <w:snapToGrid w:val="0"/>
              <w:spacing w:line="240" w:lineRule="atLeast"/>
              <w:rPr>
                <w:rFonts w:ascii="宋体" w:hAnsi="宋体"/>
                <w:b/>
                <w:szCs w:val="21"/>
              </w:rPr>
            </w:pPr>
          </w:p>
          <w:p>
            <w:pPr>
              <w:snapToGrid w:val="0"/>
              <w:spacing w:line="240" w:lineRule="atLeast"/>
              <w:rPr>
                <w:rFonts w:ascii="宋体" w:hAnsi="宋体"/>
                <w:szCs w:val="21"/>
              </w:rPr>
            </w:pPr>
            <w:r>
              <w:rPr>
                <w:rFonts w:hint="eastAsia" w:ascii="宋体" w:hAnsi="宋体"/>
                <w:szCs w:val="21"/>
              </w:rPr>
              <w:t xml:space="preserve">                        证券营业网点签章：</w:t>
            </w:r>
          </w:p>
          <w:p>
            <w:pPr>
              <w:spacing w:line="240" w:lineRule="atLeast"/>
              <w:ind w:firstLine="2730" w:firstLineChars="1300"/>
              <w:rPr>
                <w:rFonts w:ascii="宋体" w:hAnsi="宋体"/>
                <w:szCs w:val="21"/>
              </w:rPr>
            </w:pPr>
            <w:r>
              <w:rPr>
                <w:rFonts w:hint="eastAsia" w:ascii="宋体" w:hAnsi="宋体"/>
                <w:szCs w:val="21"/>
              </w:rPr>
              <w:t>年   月   日</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wBefore w:w="0" w:type="dxa"/>
          <w:wAfter w:w="0" w:type="dxa"/>
          <w:cantSplit/>
          <w:trHeight w:val="6355" w:hRule="atLeast"/>
        </w:trPr>
        <w:tc>
          <w:tcPr>
            <w:tcW w:w="993" w:type="dxa"/>
            <w:tcBorders>
              <w:right w:val="single" w:color="auto" w:sz="4" w:space="0"/>
            </w:tcBorders>
            <w:noWrap w:val="0"/>
            <w:textDirection w:val="tbRlV"/>
            <w:vAlign w:val="center"/>
          </w:tcPr>
          <w:p>
            <w:pPr>
              <w:spacing w:line="240" w:lineRule="atLeast"/>
              <w:ind w:left="113" w:right="113"/>
              <w:jc w:val="center"/>
              <w:rPr>
                <w:rFonts w:ascii="宋体" w:hAnsi="宋体"/>
                <w:szCs w:val="21"/>
              </w:rPr>
            </w:pPr>
            <w:r>
              <w:rPr>
                <w:rFonts w:hint="eastAsia" w:ascii="宋体" w:hAnsi="宋体"/>
                <w:szCs w:val="21"/>
              </w:rPr>
              <w:t>投资者确认栏</w:t>
            </w:r>
          </w:p>
        </w:tc>
        <w:tc>
          <w:tcPr>
            <w:tcW w:w="8363" w:type="dxa"/>
            <w:tcBorders>
              <w:left w:val="single" w:color="auto" w:sz="4" w:space="0"/>
            </w:tcBorders>
            <w:noWrap w:val="0"/>
            <w:vAlign w:val="center"/>
          </w:tcPr>
          <w:p>
            <w:pPr>
              <w:snapToGrid w:val="0"/>
              <w:spacing w:line="240" w:lineRule="atLeast"/>
              <w:ind w:firstLine="420" w:firstLineChars="200"/>
              <w:rPr>
                <w:rFonts w:ascii="宋体" w:hAnsi="宋体"/>
                <w:b/>
                <w:color w:val="FFFFFF"/>
                <w:szCs w:val="21"/>
              </w:rPr>
            </w:pPr>
            <w:r>
              <w:rPr>
                <w:rFonts w:hint="eastAsia" w:ascii="宋体" w:hAnsi="宋体"/>
                <w:szCs w:val="21"/>
              </w:rPr>
              <w:t>本人/机构自愿申请被划分为专业投资者，已阅读了上述告知内容，确认相关申请材料真实、准确、完整，并知悉贵公司根据申请材料将本人/机构划分为专业投资者。对于贵公司销售的产品或提供的服务，本人/机构具有专业判断能力，能够自行进行专业判断。</w:t>
            </w:r>
          </w:p>
          <w:p>
            <w:pPr>
              <w:snapToGrid w:val="0"/>
              <w:spacing w:line="240" w:lineRule="atLeast"/>
              <w:ind w:firstLine="420" w:firstLineChars="200"/>
              <w:rPr>
                <w:rFonts w:ascii="宋体" w:hAnsi="宋体"/>
                <w:szCs w:val="21"/>
              </w:rPr>
            </w:pPr>
            <w:r>
              <w:rPr>
                <w:rFonts w:hint="eastAsia" w:ascii="宋体" w:hAnsi="宋体"/>
                <w:szCs w:val="21"/>
              </w:rPr>
              <w:t>本人/机构确认已了解贵公司对专业投资者和普通投资者在履行适当性义务方面的区别，本人/机构知悉可以自愿申请或因不再符合专业投资者的条件，而不再被划分为专业投资者的规则。</w:t>
            </w:r>
          </w:p>
          <w:p>
            <w:pPr>
              <w:spacing w:line="240" w:lineRule="atLeast"/>
              <w:ind w:firstLine="420" w:firstLineChars="200"/>
              <w:rPr>
                <w:rFonts w:ascii="宋体" w:hAnsi="宋体"/>
                <w:szCs w:val="21"/>
              </w:rPr>
            </w:pPr>
            <w:r>
              <w:rPr>
                <w:rFonts w:hint="eastAsia" w:ascii="宋体" w:hAnsi="宋体"/>
                <w:szCs w:val="21"/>
              </w:rPr>
              <w:t xml:space="preserve">                         </w:t>
            </w:r>
          </w:p>
          <w:p>
            <w:pPr>
              <w:spacing w:line="240" w:lineRule="atLeast"/>
              <w:ind w:firstLine="420" w:firstLineChars="200"/>
              <w:rPr>
                <w:rFonts w:ascii="宋体" w:hAnsi="宋体"/>
                <w:szCs w:val="21"/>
              </w:rPr>
            </w:pPr>
          </w:p>
          <w:p>
            <w:pPr>
              <w:spacing w:line="240" w:lineRule="atLeast"/>
              <w:rPr>
                <w:rFonts w:ascii="宋体" w:hAnsi="宋体"/>
                <w:szCs w:val="21"/>
              </w:rPr>
            </w:pPr>
          </w:p>
          <w:p>
            <w:pPr>
              <w:spacing w:line="240" w:lineRule="atLeast"/>
              <w:ind w:firstLine="420" w:firstLineChars="200"/>
              <w:rPr>
                <w:rFonts w:ascii="宋体" w:hAnsi="宋体"/>
                <w:szCs w:val="21"/>
              </w:rPr>
            </w:pPr>
          </w:p>
          <w:p>
            <w:pPr>
              <w:spacing w:line="240" w:lineRule="atLeast"/>
              <w:ind w:firstLine="420" w:firstLineChars="200"/>
              <w:rPr>
                <w:rFonts w:ascii="宋体" w:hAnsi="宋体"/>
                <w:szCs w:val="21"/>
              </w:rPr>
            </w:pPr>
          </w:p>
          <w:p>
            <w:pPr>
              <w:spacing w:line="240" w:lineRule="atLeast"/>
              <w:rPr>
                <w:rFonts w:ascii="宋体" w:hAnsi="宋体"/>
                <w:szCs w:val="21"/>
              </w:rPr>
            </w:pPr>
            <w:r>
              <w:rPr>
                <w:rFonts w:hint="eastAsia" w:ascii="宋体" w:hAnsi="宋体"/>
                <w:szCs w:val="21"/>
              </w:rPr>
              <w:t xml:space="preserve">            投资者（自然人签名/机构签章、授权代表人签名）：</w:t>
            </w:r>
          </w:p>
          <w:p>
            <w:pPr>
              <w:spacing w:line="240" w:lineRule="atLeast"/>
              <w:rPr>
                <w:rFonts w:ascii="宋体" w:hAnsi="宋体"/>
                <w:szCs w:val="21"/>
              </w:rPr>
            </w:pPr>
            <w:r>
              <w:rPr>
                <w:rFonts w:hint="eastAsia" w:ascii="宋体" w:hAnsi="宋体"/>
                <w:szCs w:val="21"/>
              </w:rPr>
              <w:t xml:space="preserve">                       年   月   日</w:t>
            </w:r>
          </w:p>
        </w:tc>
      </w:tr>
    </w:tbl>
    <w:p>
      <w:pPr>
        <w:spacing w:line="240" w:lineRule="atLeast"/>
        <w:rPr>
          <w:rFonts w:ascii="宋体" w:hAnsi="宋体"/>
          <w:sz w:val="24"/>
        </w:rPr>
      </w:pPr>
    </w:p>
    <w:p>
      <w:pPr>
        <w:spacing w:line="240" w:lineRule="atLeast"/>
        <w:rPr>
          <w:rFonts w:ascii="宋体" w:hAnsi="宋体"/>
          <w:b/>
          <w:sz w:val="24"/>
        </w:rPr>
      </w:pPr>
      <w:r>
        <w:rPr>
          <w:rFonts w:ascii="宋体" w:hAnsi="宋体"/>
          <w:sz w:val="24"/>
        </w:rPr>
        <w:br w:type="page"/>
      </w:r>
      <w:r>
        <w:rPr>
          <w:rFonts w:hint="eastAsia" w:ascii="宋体" w:hAnsi="宋体"/>
          <w:b/>
          <w:sz w:val="24"/>
        </w:rPr>
        <w:t>附件4：</w:t>
      </w:r>
    </w:p>
    <w:p>
      <w:pPr>
        <w:spacing w:line="240" w:lineRule="atLeast"/>
        <w:rPr>
          <w:rFonts w:ascii="宋体" w:hAnsi="宋体"/>
          <w:sz w:val="24"/>
        </w:rPr>
      </w:pPr>
    </w:p>
    <w:p>
      <w:pPr>
        <w:spacing w:line="240" w:lineRule="atLeast"/>
        <w:jc w:val="center"/>
        <w:rPr>
          <w:rFonts w:ascii="宋体" w:hAnsi="宋体"/>
          <w:sz w:val="24"/>
        </w:rPr>
      </w:pPr>
      <w:r>
        <w:rPr>
          <w:rFonts w:hint="eastAsia" w:ascii="宋体" w:hAnsi="宋体"/>
          <w:b/>
          <w:bCs/>
          <w:sz w:val="24"/>
        </w:rPr>
        <w:t>投资者风险承受能力评估问卷（适用于自然人投资者）</w:t>
      </w:r>
    </w:p>
    <w:p>
      <w:pPr>
        <w:spacing w:line="240" w:lineRule="atLeast"/>
        <w:jc w:val="left"/>
        <w:rPr>
          <w:rFonts w:ascii="宋体" w:hAnsi="宋体"/>
          <w:sz w:val="24"/>
          <w:u w:val="single"/>
        </w:rPr>
      </w:pPr>
      <w:r>
        <w:rPr>
          <w:rFonts w:hint="eastAsia" w:ascii="宋体" w:hAnsi="宋体"/>
          <w:sz w:val="24"/>
        </w:rPr>
        <w:t>投资者姓名：</w:t>
      </w:r>
      <w:r>
        <w:rPr>
          <w:rFonts w:hint="eastAsia" w:ascii="宋体" w:hAnsi="宋体"/>
          <w:sz w:val="24"/>
          <w:u w:val="single"/>
        </w:rPr>
        <w:t xml:space="preserve">                 </w:t>
      </w:r>
    </w:p>
    <w:p>
      <w:pPr>
        <w:spacing w:line="240" w:lineRule="atLeast"/>
        <w:jc w:val="left"/>
        <w:rPr>
          <w:rFonts w:ascii="宋体" w:hAnsi="宋体"/>
          <w:sz w:val="24"/>
          <w:u w:val="single"/>
        </w:rPr>
      </w:pPr>
      <w:r>
        <w:rPr>
          <w:rFonts w:hint="eastAsia" w:ascii="宋体" w:hAnsi="宋体"/>
          <w:sz w:val="24"/>
        </w:rPr>
        <w:t>资金账号：</w:t>
      </w:r>
      <w:r>
        <w:rPr>
          <w:rFonts w:hint="eastAsia" w:ascii="宋体" w:hAnsi="宋体"/>
          <w:sz w:val="24"/>
          <w:u w:val="single"/>
        </w:rPr>
        <w:t xml:space="preserve">                 </w:t>
      </w:r>
    </w:p>
    <w:p>
      <w:pPr>
        <w:spacing w:line="240" w:lineRule="atLeast"/>
        <w:ind w:firstLine="480" w:firstLineChars="200"/>
        <w:jc w:val="left"/>
        <w:rPr>
          <w:rFonts w:ascii="宋体" w:hAnsi="宋体"/>
          <w:sz w:val="24"/>
          <w:lang w:val="en-GB"/>
        </w:rPr>
      </w:pPr>
      <w:r>
        <w:rPr>
          <w:rFonts w:hint="eastAsia" w:ascii="宋体" w:hAnsi="宋体"/>
          <w:sz w:val="24"/>
        </w:rPr>
        <w:t>本问卷旨在了解您可承受的风险程度等情况，借此协助您选择合适的产品</w:t>
      </w:r>
      <w:r>
        <w:rPr>
          <w:rFonts w:hint="eastAsia" w:ascii="宋体" w:hAnsi="宋体"/>
          <w:sz w:val="24"/>
          <w:lang w:val="en-GB"/>
        </w:rPr>
        <w:t>或服务类别，以符合您的风险承受能力。</w:t>
      </w:r>
    </w:p>
    <w:p>
      <w:pPr>
        <w:spacing w:line="240" w:lineRule="atLeast"/>
        <w:ind w:firstLine="480" w:firstLineChars="200"/>
        <w:jc w:val="left"/>
        <w:rPr>
          <w:rFonts w:ascii="宋体" w:hAnsi="宋体"/>
          <w:sz w:val="24"/>
          <w:lang w:val="en-GB"/>
        </w:rPr>
      </w:pPr>
      <w:r>
        <w:rPr>
          <w:rFonts w:hint="eastAsia" w:ascii="宋体" w:hAnsi="宋体"/>
          <w:sz w:val="24"/>
          <w:lang w:val="en-GB"/>
        </w:rPr>
        <w:t>风险承受能力评估是本公司向投资者履行适当性义务的一个环节，其目的是使本公司所提供的产品或服务与您的风险承受能力等级相匹配。</w:t>
      </w:r>
    </w:p>
    <w:p>
      <w:pPr>
        <w:spacing w:line="240" w:lineRule="atLeast"/>
        <w:ind w:firstLine="480" w:firstLineChars="200"/>
        <w:jc w:val="left"/>
        <w:rPr>
          <w:rFonts w:ascii="宋体" w:hAnsi="宋体"/>
          <w:sz w:val="24"/>
          <w:lang w:val="en-GB"/>
        </w:rPr>
      </w:pPr>
      <w:r>
        <w:rPr>
          <w:rFonts w:hint="eastAsia" w:ascii="宋体" w:hAnsi="宋体"/>
          <w:sz w:val="24"/>
          <w:lang w:val="en-GB"/>
        </w:rPr>
        <w:t>本公司特别提醒您：本公司向投资者履行风险承受能力评估等适当性义务，并不能取代您自己的投资判断，也不会降低产品或服务的固有风险。同时，与产品或服务相关的投资风险、履约责任以及费用等将由您自行承担。</w:t>
      </w:r>
    </w:p>
    <w:p>
      <w:pPr>
        <w:spacing w:line="240" w:lineRule="atLeast"/>
        <w:ind w:firstLine="480" w:firstLineChars="200"/>
        <w:jc w:val="left"/>
        <w:rPr>
          <w:rFonts w:ascii="宋体" w:hAnsi="宋体"/>
          <w:sz w:val="24"/>
        </w:rPr>
      </w:pPr>
      <w:r>
        <w:rPr>
          <w:rFonts w:hint="eastAsia" w:ascii="宋体" w:hAnsi="宋体"/>
          <w:sz w:val="24"/>
          <w:lang w:val="en-GB"/>
        </w:rPr>
        <w:t>本公司提示您：本公司根据您提供的信息对您进行风险承受能力评估，履行</w:t>
      </w:r>
      <w:r>
        <w:rPr>
          <w:rFonts w:hint="eastAsia" w:ascii="宋体" w:hAnsi="宋体"/>
          <w:sz w:val="24"/>
        </w:rPr>
        <w:t>适当性义务。</w:t>
      </w:r>
    </w:p>
    <w:p>
      <w:pPr>
        <w:spacing w:line="240" w:lineRule="atLeast"/>
        <w:ind w:firstLine="480" w:firstLineChars="200"/>
        <w:jc w:val="left"/>
        <w:rPr>
          <w:rFonts w:ascii="宋体" w:hAnsi="宋体"/>
          <w:sz w:val="24"/>
        </w:rPr>
      </w:pPr>
      <w:r>
        <w:rPr>
          <w:rFonts w:hint="eastAsia" w:ascii="宋体" w:hAnsi="宋体"/>
          <w:sz w:val="24"/>
        </w:rPr>
        <w:t>本公司建议：当您的各项状况发生重大变化时，需对您所投资的产品及时进行重新审视，以确保您的投资决定与您可承受的投资风险程度等实际情况一致。</w:t>
      </w:r>
    </w:p>
    <w:p>
      <w:pPr>
        <w:spacing w:line="240" w:lineRule="atLeast"/>
        <w:ind w:firstLine="480" w:firstLineChars="200"/>
        <w:jc w:val="left"/>
        <w:rPr>
          <w:rFonts w:ascii="宋体" w:hAnsi="宋体"/>
          <w:sz w:val="24"/>
        </w:rPr>
      </w:pPr>
      <w:r>
        <w:rPr>
          <w:rFonts w:hint="eastAsia" w:ascii="宋体" w:hAnsi="宋体"/>
          <w:sz w:val="24"/>
        </w:rPr>
        <w:t>本公司在此承诺，对于您在本问卷中所提供的一切信息，本公司将严格按照法律法规要求承担保密义务。除法律法规规定的有权机关依法定程序进行查询以外，本公司保证不会将涉及您的任何信息提供、泄露给任何第三方，或者将相关信息用于违法、不当用途。</w:t>
      </w:r>
    </w:p>
    <w:p>
      <w:pPr>
        <w:spacing w:line="240" w:lineRule="atLeast"/>
        <w:jc w:val="left"/>
        <w:rPr>
          <w:rFonts w:ascii="宋体" w:hAnsi="宋体"/>
          <w:sz w:val="24"/>
        </w:rPr>
      </w:pPr>
    </w:p>
    <w:p>
      <w:pPr>
        <w:spacing w:line="240" w:lineRule="atLeast"/>
        <w:jc w:val="left"/>
        <w:rPr>
          <w:rFonts w:ascii="宋体" w:hAnsi="宋体"/>
          <w:b/>
          <w:bCs/>
          <w:sz w:val="24"/>
        </w:rPr>
      </w:pPr>
      <w:r>
        <w:rPr>
          <w:rFonts w:hint="eastAsia" w:ascii="宋体" w:hAnsi="宋体"/>
          <w:b/>
          <w:bCs/>
          <w:sz w:val="24"/>
        </w:rPr>
        <w:t>一、财务状况</w:t>
      </w:r>
    </w:p>
    <w:p>
      <w:pPr>
        <w:numPr>
          <w:ilvl w:val="0"/>
          <w:numId w:val="1"/>
        </w:numPr>
        <w:spacing w:line="240" w:lineRule="atLeast"/>
        <w:jc w:val="left"/>
        <w:rPr>
          <w:rFonts w:ascii="宋体" w:hAnsi="宋体"/>
          <w:b/>
          <w:bCs/>
          <w:sz w:val="24"/>
        </w:rPr>
      </w:pPr>
      <w:r>
        <w:rPr>
          <w:rFonts w:hint="eastAsia" w:ascii="宋体" w:hAnsi="宋体"/>
          <w:b/>
          <w:bCs/>
          <w:sz w:val="24"/>
        </w:rPr>
        <w:t>您的主要收入来源是：</w:t>
      </w:r>
    </w:p>
    <w:p>
      <w:pPr>
        <w:numPr>
          <w:ilvl w:val="0"/>
          <w:numId w:val="2"/>
        </w:numPr>
        <w:spacing w:line="240" w:lineRule="atLeast"/>
        <w:jc w:val="left"/>
        <w:rPr>
          <w:rFonts w:ascii="宋体" w:hAnsi="宋体"/>
          <w:sz w:val="24"/>
        </w:rPr>
      </w:pPr>
      <w:r>
        <w:rPr>
          <w:rFonts w:hint="eastAsia" w:ascii="宋体" w:hAnsi="宋体"/>
          <w:sz w:val="24"/>
        </w:rPr>
        <w:t>工资、劳务报酬</w:t>
      </w:r>
    </w:p>
    <w:p>
      <w:pPr>
        <w:numPr>
          <w:ilvl w:val="0"/>
          <w:numId w:val="2"/>
        </w:numPr>
        <w:spacing w:line="240" w:lineRule="atLeast"/>
        <w:jc w:val="left"/>
        <w:rPr>
          <w:rFonts w:ascii="宋体" w:hAnsi="宋体"/>
          <w:sz w:val="24"/>
        </w:rPr>
      </w:pPr>
      <w:r>
        <w:rPr>
          <w:rFonts w:hint="eastAsia" w:ascii="宋体" w:hAnsi="宋体"/>
          <w:sz w:val="24"/>
        </w:rPr>
        <w:t>生产经营所得</w:t>
      </w:r>
    </w:p>
    <w:p>
      <w:pPr>
        <w:numPr>
          <w:ilvl w:val="0"/>
          <w:numId w:val="2"/>
        </w:numPr>
        <w:spacing w:line="240" w:lineRule="atLeast"/>
        <w:jc w:val="left"/>
        <w:rPr>
          <w:rFonts w:ascii="宋体" w:hAnsi="宋体"/>
          <w:sz w:val="24"/>
        </w:rPr>
      </w:pPr>
      <w:r>
        <w:rPr>
          <w:rFonts w:hint="eastAsia" w:ascii="宋体" w:hAnsi="宋体"/>
          <w:sz w:val="24"/>
        </w:rPr>
        <w:t>利息、股息、转让证券等金融性资产收入</w:t>
      </w:r>
    </w:p>
    <w:p>
      <w:pPr>
        <w:numPr>
          <w:ilvl w:val="0"/>
          <w:numId w:val="2"/>
        </w:numPr>
        <w:spacing w:line="240" w:lineRule="atLeast"/>
        <w:jc w:val="left"/>
        <w:rPr>
          <w:rFonts w:ascii="宋体" w:hAnsi="宋体"/>
          <w:sz w:val="24"/>
        </w:rPr>
      </w:pPr>
      <w:r>
        <w:rPr>
          <w:rFonts w:hint="eastAsia" w:ascii="宋体" w:hAnsi="宋体"/>
          <w:sz w:val="24"/>
        </w:rPr>
        <w:t>出租、出售房地产等非金融性资产收入</w:t>
      </w:r>
    </w:p>
    <w:p>
      <w:pPr>
        <w:numPr>
          <w:ilvl w:val="0"/>
          <w:numId w:val="2"/>
        </w:numPr>
        <w:spacing w:line="240" w:lineRule="atLeast"/>
        <w:jc w:val="left"/>
        <w:rPr>
          <w:rFonts w:ascii="宋体" w:hAnsi="宋体"/>
          <w:sz w:val="24"/>
        </w:rPr>
      </w:pPr>
      <w:r>
        <w:rPr>
          <w:rFonts w:hint="eastAsia" w:ascii="宋体" w:hAnsi="宋体"/>
          <w:sz w:val="24"/>
        </w:rPr>
        <w:t>无固定收入</w:t>
      </w:r>
    </w:p>
    <w:p>
      <w:pPr>
        <w:numPr>
          <w:ilvl w:val="0"/>
          <w:numId w:val="1"/>
        </w:numPr>
        <w:spacing w:line="240" w:lineRule="atLeast"/>
        <w:jc w:val="left"/>
        <w:rPr>
          <w:rFonts w:ascii="宋体" w:hAnsi="宋体"/>
          <w:b/>
          <w:bCs/>
          <w:sz w:val="24"/>
        </w:rPr>
      </w:pPr>
      <w:r>
        <w:rPr>
          <w:rFonts w:hint="eastAsia" w:ascii="宋体" w:hAnsi="宋体"/>
          <w:b/>
          <w:bCs/>
          <w:sz w:val="24"/>
        </w:rPr>
        <w:t>最近您家庭预计进行证券投资的资金占家庭现有总资产(不含自住、自用房产及汽车等固定资产)的比例是：</w:t>
      </w:r>
    </w:p>
    <w:p>
      <w:pPr>
        <w:spacing w:line="240" w:lineRule="atLeast"/>
        <w:jc w:val="left"/>
        <w:rPr>
          <w:rFonts w:ascii="宋体" w:hAnsi="宋体"/>
          <w:sz w:val="24"/>
        </w:rPr>
      </w:pPr>
      <w:r>
        <w:rPr>
          <w:rFonts w:hint="eastAsia" w:ascii="宋体" w:hAnsi="宋体"/>
          <w:sz w:val="24"/>
        </w:rPr>
        <w:t>A．70%以上</w:t>
      </w:r>
    </w:p>
    <w:p>
      <w:pPr>
        <w:spacing w:line="240" w:lineRule="atLeast"/>
        <w:jc w:val="left"/>
        <w:rPr>
          <w:rFonts w:ascii="宋体" w:hAnsi="宋体"/>
          <w:sz w:val="24"/>
        </w:rPr>
      </w:pPr>
      <w:r>
        <w:rPr>
          <w:rFonts w:hint="eastAsia" w:ascii="宋体" w:hAnsi="宋体"/>
          <w:sz w:val="24"/>
        </w:rPr>
        <w:t xml:space="preserve">B．50%-70% </w:t>
      </w:r>
    </w:p>
    <w:p>
      <w:pPr>
        <w:spacing w:line="240" w:lineRule="atLeast"/>
        <w:jc w:val="left"/>
        <w:rPr>
          <w:rFonts w:ascii="宋体" w:hAnsi="宋体"/>
          <w:sz w:val="24"/>
        </w:rPr>
      </w:pPr>
      <w:r>
        <w:rPr>
          <w:rFonts w:hint="eastAsia" w:ascii="宋体" w:hAnsi="宋体"/>
          <w:sz w:val="24"/>
        </w:rPr>
        <w:t>C．30%－50%</w:t>
      </w:r>
    </w:p>
    <w:p>
      <w:pPr>
        <w:spacing w:line="240" w:lineRule="atLeast"/>
        <w:jc w:val="left"/>
        <w:rPr>
          <w:rFonts w:ascii="宋体" w:hAnsi="宋体"/>
          <w:sz w:val="24"/>
        </w:rPr>
      </w:pPr>
      <w:r>
        <w:rPr>
          <w:rFonts w:hint="eastAsia" w:ascii="宋体" w:hAnsi="宋体"/>
          <w:sz w:val="24"/>
        </w:rPr>
        <w:t>D．10%－30%</w:t>
      </w:r>
    </w:p>
    <w:p>
      <w:pPr>
        <w:spacing w:line="240" w:lineRule="atLeast"/>
        <w:jc w:val="left"/>
        <w:rPr>
          <w:rFonts w:ascii="宋体" w:hAnsi="宋体"/>
          <w:sz w:val="24"/>
        </w:rPr>
      </w:pPr>
      <w:r>
        <w:rPr>
          <w:rFonts w:hint="eastAsia" w:ascii="宋体" w:hAnsi="宋体"/>
          <w:sz w:val="24"/>
        </w:rPr>
        <w:t>E．10%以下</w:t>
      </w:r>
    </w:p>
    <w:p>
      <w:pPr>
        <w:numPr>
          <w:ilvl w:val="0"/>
          <w:numId w:val="1"/>
        </w:numPr>
        <w:spacing w:line="240" w:lineRule="atLeast"/>
        <w:jc w:val="left"/>
        <w:rPr>
          <w:rFonts w:ascii="宋体" w:hAnsi="宋体"/>
          <w:b/>
          <w:bCs/>
          <w:sz w:val="24"/>
        </w:rPr>
      </w:pPr>
      <w:r>
        <w:rPr>
          <w:rFonts w:hint="eastAsia" w:ascii="宋体" w:hAnsi="宋体"/>
          <w:b/>
          <w:bCs/>
          <w:sz w:val="24"/>
        </w:rPr>
        <w:t>您是否有尚未清偿的数额较大的债务，如有，其性质是：</w:t>
      </w:r>
    </w:p>
    <w:p>
      <w:pPr>
        <w:numPr>
          <w:ilvl w:val="0"/>
          <w:numId w:val="3"/>
        </w:numPr>
        <w:spacing w:line="240" w:lineRule="atLeast"/>
        <w:jc w:val="left"/>
        <w:rPr>
          <w:rFonts w:ascii="宋体" w:hAnsi="宋体"/>
          <w:sz w:val="24"/>
        </w:rPr>
      </w:pPr>
      <w:r>
        <w:rPr>
          <w:rFonts w:hint="eastAsia" w:ascii="宋体" w:hAnsi="宋体"/>
          <w:sz w:val="24"/>
        </w:rPr>
        <w:t>没有</w:t>
      </w:r>
    </w:p>
    <w:p>
      <w:pPr>
        <w:numPr>
          <w:ilvl w:val="0"/>
          <w:numId w:val="3"/>
        </w:numPr>
        <w:spacing w:line="240" w:lineRule="atLeast"/>
        <w:jc w:val="left"/>
        <w:rPr>
          <w:rFonts w:ascii="宋体" w:hAnsi="宋体"/>
          <w:sz w:val="24"/>
        </w:rPr>
      </w:pPr>
      <w:r>
        <w:rPr>
          <w:rFonts w:hint="eastAsia" w:ascii="宋体" w:hAnsi="宋体"/>
          <w:sz w:val="24"/>
        </w:rPr>
        <w:t>有，住房抵押贷款等长期定额债务</w:t>
      </w:r>
    </w:p>
    <w:p>
      <w:pPr>
        <w:numPr>
          <w:ilvl w:val="0"/>
          <w:numId w:val="3"/>
        </w:numPr>
        <w:spacing w:line="240" w:lineRule="atLeast"/>
        <w:jc w:val="left"/>
        <w:rPr>
          <w:rFonts w:ascii="宋体" w:hAnsi="宋体"/>
          <w:sz w:val="24"/>
        </w:rPr>
      </w:pPr>
      <w:r>
        <w:rPr>
          <w:rFonts w:hint="eastAsia" w:ascii="宋体" w:hAnsi="宋体"/>
          <w:sz w:val="24"/>
        </w:rPr>
        <w:t>有，信用卡欠款、消费信贷等短期信用债务</w:t>
      </w:r>
    </w:p>
    <w:p>
      <w:pPr>
        <w:numPr>
          <w:ilvl w:val="0"/>
          <w:numId w:val="3"/>
        </w:numPr>
        <w:spacing w:line="240" w:lineRule="atLeast"/>
        <w:jc w:val="left"/>
        <w:rPr>
          <w:rFonts w:ascii="宋体" w:hAnsi="宋体"/>
          <w:sz w:val="24"/>
        </w:rPr>
      </w:pPr>
      <w:r>
        <w:rPr>
          <w:rFonts w:hint="eastAsia" w:ascii="宋体" w:hAnsi="宋体"/>
          <w:sz w:val="24"/>
        </w:rPr>
        <w:t>有，亲朋之间借款</w:t>
      </w:r>
    </w:p>
    <w:p>
      <w:pPr>
        <w:numPr>
          <w:ilvl w:val="0"/>
          <w:numId w:val="1"/>
        </w:numPr>
        <w:spacing w:line="240" w:lineRule="atLeast"/>
        <w:jc w:val="left"/>
        <w:rPr>
          <w:rFonts w:ascii="宋体" w:hAnsi="宋体"/>
          <w:b/>
          <w:bCs/>
          <w:sz w:val="24"/>
        </w:rPr>
      </w:pPr>
      <w:r>
        <w:rPr>
          <w:rFonts w:hint="eastAsia" w:ascii="宋体" w:hAnsi="宋体"/>
          <w:b/>
          <w:bCs/>
          <w:sz w:val="24"/>
        </w:rPr>
        <w:t>您可用于投资的资产数额（包括金融资产和不动产）为：</w:t>
      </w:r>
    </w:p>
    <w:p>
      <w:pPr>
        <w:spacing w:line="240" w:lineRule="atLeast"/>
        <w:jc w:val="left"/>
        <w:rPr>
          <w:rFonts w:ascii="宋体" w:hAnsi="宋体"/>
          <w:sz w:val="24"/>
        </w:rPr>
      </w:pPr>
      <w:r>
        <w:rPr>
          <w:rFonts w:hint="eastAsia" w:ascii="宋体" w:hAnsi="宋体"/>
          <w:sz w:val="24"/>
        </w:rPr>
        <w:t>A. 不超过50万元人民币</w:t>
      </w:r>
    </w:p>
    <w:p>
      <w:pPr>
        <w:spacing w:line="240" w:lineRule="atLeast"/>
        <w:jc w:val="left"/>
        <w:rPr>
          <w:rFonts w:ascii="宋体" w:hAnsi="宋体"/>
          <w:sz w:val="24"/>
        </w:rPr>
      </w:pPr>
      <w:r>
        <w:rPr>
          <w:rFonts w:hint="eastAsia" w:ascii="宋体" w:hAnsi="宋体"/>
          <w:sz w:val="24"/>
        </w:rPr>
        <w:t>B. 50万-300万元（不含）人民币</w:t>
      </w:r>
    </w:p>
    <w:p>
      <w:pPr>
        <w:spacing w:line="240" w:lineRule="atLeast"/>
        <w:jc w:val="left"/>
        <w:rPr>
          <w:rFonts w:ascii="宋体" w:hAnsi="宋体"/>
          <w:sz w:val="24"/>
        </w:rPr>
      </w:pPr>
      <w:r>
        <w:rPr>
          <w:rFonts w:hint="eastAsia" w:ascii="宋体" w:hAnsi="宋体"/>
          <w:sz w:val="24"/>
        </w:rPr>
        <w:t>C. 300万-1000万元（不含）人民币</w:t>
      </w:r>
    </w:p>
    <w:p>
      <w:pPr>
        <w:spacing w:line="240" w:lineRule="atLeast"/>
        <w:jc w:val="left"/>
        <w:rPr>
          <w:rFonts w:ascii="宋体" w:hAnsi="宋体"/>
          <w:sz w:val="24"/>
        </w:rPr>
      </w:pPr>
      <w:r>
        <w:rPr>
          <w:rFonts w:hint="eastAsia" w:ascii="宋体" w:hAnsi="宋体"/>
          <w:sz w:val="24"/>
        </w:rPr>
        <w:t>D. 1000万元人民币以上</w:t>
      </w:r>
    </w:p>
    <w:p>
      <w:pPr>
        <w:spacing w:line="240" w:lineRule="atLeast"/>
        <w:jc w:val="left"/>
        <w:rPr>
          <w:rFonts w:ascii="宋体" w:hAnsi="宋体"/>
          <w:sz w:val="24"/>
        </w:rPr>
      </w:pPr>
    </w:p>
    <w:p>
      <w:pPr>
        <w:numPr>
          <w:ilvl w:val="0"/>
          <w:numId w:val="4"/>
        </w:numPr>
        <w:spacing w:line="240" w:lineRule="atLeast"/>
        <w:jc w:val="left"/>
        <w:rPr>
          <w:rFonts w:ascii="宋体" w:hAnsi="宋体"/>
          <w:b/>
          <w:bCs/>
          <w:sz w:val="24"/>
        </w:rPr>
      </w:pPr>
      <w:r>
        <w:rPr>
          <w:rFonts w:hint="eastAsia" w:ascii="宋体" w:hAnsi="宋体"/>
          <w:b/>
          <w:bCs/>
          <w:sz w:val="24"/>
        </w:rPr>
        <w:t>投资知识</w:t>
      </w:r>
    </w:p>
    <w:p>
      <w:pPr>
        <w:numPr>
          <w:ilvl w:val="0"/>
          <w:numId w:val="1"/>
        </w:numPr>
        <w:spacing w:line="240" w:lineRule="atLeast"/>
        <w:jc w:val="left"/>
        <w:rPr>
          <w:rFonts w:ascii="宋体" w:hAnsi="宋体"/>
          <w:b/>
          <w:bCs/>
          <w:sz w:val="24"/>
        </w:rPr>
      </w:pPr>
      <w:r>
        <w:rPr>
          <w:rFonts w:hint="eastAsia" w:ascii="宋体" w:hAnsi="宋体"/>
          <w:b/>
          <w:bCs/>
          <w:sz w:val="24"/>
        </w:rPr>
        <w:t>以下描述中何种符合您的实际情况：</w:t>
      </w:r>
    </w:p>
    <w:p>
      <w:pPr>
        <w:numPr>
          <w:ilvl w:val="0"/>
          <w:numId w:val="5"/>
        </w:numPr>
        <w:spacing w:line="240" w:lineRule="atLeast"/>
        <w:jc w:val="left"/>
        <w:rPr>
          <w:rFonts w:ascii="宋体" w:hAnsi="宋体"/>
          <w:sz w:val="24"/>
        </w:rPr>
      </w:pPr>
      <w:r>
        <w:rPr>
          <w:rFonts w:hint="eastAsia" w:ascii="宋体" w:hAnsi="宋体"/>
          <w:sz w:val="24"/>
        </w:rPr>
        <w:t xml:space="preserve"> 现在或此前曾从事金融、经济或财会等与金融产品投资相关的工作超过两年</w:t>
      </w:r>
    </w:p>
    <w:p>
      <w:pPr>
        <w:numPr>
          <w:ilvl w:val="0"/>
          <w:numId w:val="5"/>
        </w:numPr>
        <w:spacing w:line="240" w:lineRule="atLeast"/>
        <w:jc w:val="left"/>
        <w:rPr>
          <w:rFonts w:ascii="宋体" w:hAnsi="宋体"/>
          <w:sz w:val="24"/>
        </w:rPr>
      </w:pPr>
      <w:r>
        <w:rPr>
          <w:rFonts w:hint="eastAsia" w:ascii="宋体" w:hAnsi="宋体"/>
          <w:sz w:val="24"/>
        </w:rPr>
        <w:t xml:space="preserve"> 已取得金融、经济或财会等与金融产品投资相关专业学士以上学位</w:t>
      </w:r>
    </w:p>
    <w:p>
      <w:pPr>
        <w:numPr>
          <w:ilvl w:val="0"/>
          <w:numId w:val="5"/>
        </w:numPr>
        <w:spacing w:line="240" w:lineRule="atLeast"/>
        <w:jc w:val="left"/>
        <w:rPr>
          <w:rFonts w:ascii="宋体" w:hAnsi="宋体"/>
          <w:sz w:val="24"/>
        </w:rPr>
      </w:pPr>
      <w:r>
        <w:rPr>
          <w:rFonts w:hint="eastAsia" w:ascii="宋体" w:hAnsi="宋体"/>
          <w:sz w:val="24"/>
        </w:rPr>
        <w:t xml:space="preserve"> 取得证券从业资格、基金从业资格、期货从业资格、注册会计师证书（CPA）或注册金融分析师证书（CFA）中的一项及以上</w:t>
      </w:r>
    </w:p>
    <w:p>
      <w:pPr>
        <w:numPr>
          <w:ilvl w:val="0"/>
          <w:numId w:val="5"/>
        </w:numPr>
        <w:spacing w:line="240" w:lineRule="atLeast"/>
        <w:jc w:val="left"/>
        <w:rPr>
          <w:rFonts w:ascii="宋体" w:hAnsi="宋体"/>
          <w:sz w:val="24"/>
        </w:rPr>
      </w:pPr>
      <w:r>
        <w:rPr>
          <w:rFonts w:hint="eastAsia" w:ascii="宋体" w:hAnsi="宋体"/>
          <w:sz w:val="24"/>
        </w:rPr>
        <w:t xml:space="preserve"> 我不符合以上任何一项描述</w:t>
      </w:r>
    </w:p>
    <w:p>
      <w:pPr>
        <w:spacing w:line="240" w:lineRule="atLeast"/>
        <w:jc w:val="left"/>
        <w:rPr>
          <w:rFonts w:ascii="宋体" w:hAnsi="宋体"/>
          <w:sz w:val="24"/>
        </w:rPr>
      </w:pPr>
    </w:p>
    <w:p>
      <w:pPr>
        <w:numPr>
          <w:ilvl w:val="0"/>
          <w:numId w:val="4"/>
        </w:numPr>
        <w:spacing w:line="240" w:lineRule="atLeast"/>
        <w:jc w:val="left"/>
        <w:rPr>
          <w:rFonts w:ascii="宋体" w:hAnsi="宋体"/>
          <w:b/>
          <w:bCs/>
          <w:sz w:val="24"/>
        </w:rPr>
      </w:pPr>
      <w:r>
        <w:rPr>
          <w:rFonts w:hint="eastAsia" w:ascii="宋体" w:hAnsi="宋体"/>
          <w:b/>
          <w:bCs/>
          <w:sz w:val="24"/>
        </w:rPr>
        <w:t>投资经验</w:t>
      </w:r>
    </w:p>
    <w:p>
      <w:pPr>
        <w:numPr>
          <w:ilvl w:val="0"/>
          <w:numId w:val="1"/>
        </w:numPr>
        <w:spacing w:line="240" w:lineRule="atLeast"/>
        <w:jc w:val="left"/>
        <w:rPr>
          <w:rFonts w:ascii="宋体" w:hAnsi="宋体"/>
          <w:b/>
          <w:bCs/>
          <w:sz w:val="24"/>
        </w:rPr>
      </w:pPr>
      <w:r>
        <w:rPr>
          <w:rFonts w:hint="eastAsia" w:ascii="宋体" w:hAnsi="宋体"/>
          <w:b/>
          <w:bCs/>
          <w:sz w:val="24"/>
        </w:rPr>
        <w:tab/>
      </w:r>
      <w:r>
        <w:rPr>
          <w:rFonts w:hint="eastAsia" w:ascii="宋体" w:hAnsi="宋体"/>
          <w:b/>
          <w:bCs/>
          <w:sz w:val="24"/>
        </w:rPr>
        <w:t>您的投资经验可以被概括为：</w:t>
      </w:r>
    </w:p>
    <w:p>
      <w:pPr>
        <w:spacing w:line="240" w:lineRule="atLeast"/>
        <w:jc w:val="left"/>
        <w:rPr>
          <w:rFonts w:ascii="宋体" w:hAnsi="宋体"/>
          <w:sz w:val="24"/>
        </w:rPr>
      </w:pPr>
      <w:r>
        <w:rPr>
          <w:rFonts w:hint="eastAsia" w:ascii="宋体" w:hAnsi="宋体"/>
          <w:sz w:val="24"/>
        </w:rPr>
        <w:t>A．有限：除银行活期账户和定期存款外，我基本没有其他投资经验</w:t>
      </w:r>
    </w:p>
    <w:p>
      <w:pPr>
        <w:spacing w:line="240" w:lineRule="atLeast"/>
        <w:jc w:val="left"/>
        <w:rPr>
          <w:rFonts w:ascii="宋体" w:hAnsi="宋体"/>
          <w:sz w:val="24"/>
        </w:rPr>
      </w:pPr>
      <w:r>
        <w:rPr>
          <w:rFonts w:hint="eastAsia" w:ascii="宋体" w:hAnsi="宋体"/>
          <w:sz w:val="24"/>
        </w:rPr>
        <w:t>B．一般：除银行活期账户和定期存款外，我购买过基金、保险等理财产品，但还需要进一步的指导</w:t>
      </w:r>
    </w:p>
    <w:p>
      <w:pPr>
        <w:spacing w:line="240" w:lineRule="atLeast"/>
        <w:jc w:val="left"/>
        <w:rPr>
          <w:rFonts w:ascii="宋体" w:hAnsi="宋体"/>
          <w:sz w:val="24"/>
        </w:rPr>
      </w:pPr>
      <w:r>
        <w:rPr>
          <w:rFonts w:hint="eastAsia" w:ascii="宋体" w:hAnsi="宋体"/>
          <w:sz w:val="24"/>
        </w:rPr>
        <w:t>C．丰富：我是一位有经验的投资者，参与过股票、基金等产品的交易，并倾向于自己做出投资决策</w:t>
      </w:r>
    </w:p>
    <w:p>
      <w:pPr>
        <w:spacing w:line="240" w:lineRule="atLeast"/>
        <w:jc w:val="left"/>
        <w:rPr>
          <w:rFonts w:ascii="宋体" w:hAnsi="宋体"/>
          <w:sz w:val="24"/>
        </w:rPr>
      </w:pPr>
      <w:r>
        <w:rPr>
          <w:rFonts w:hint="eastAsia" w:ascii="宋体" w:hAnsi="宋体"/>
          <w:sz w:val="24"/>
        </w:rPr>
        <w:t>D．非常丰富：我是一位非常有经验的投资者，参与过权证、期货或创业板等产品的交易</w:t>
      </w:r>
    </w:p>
    <w:p>
      <w:pPr>
        <w:numPr>
          <w:ilvl w:val="0"/>
          <w:numId w:val="1"/>
        </w:numPr>
        <w:spacing w:line="240" w:lineRule="atLeast"/>
        <w:jc w:val="left"/>
        <w:rPr>
          <w:rFonts w:ascii="宋体" w:hAnsi="宋体"/>
          <w:b/>
          <w:bCs/>
          <w:sz w:val="24"/>
        </w:rPr>
      </w:pPr>
      <w:r>
        <w:rPr>
          <w:rFonts w:hint="eastAsia" w:ascii="宋体" w:hAnsi="宋体"/>
          <w:b/>
          <w:bCs/>
          <w:sz w:val="24"/>
        </w:rPr>
        <w:t>有一位投资者一个月内做了15笔交易（同一品种买卖各一次算一笔），您认为这样的交易频率：</w:t>
      </w:r>
    </w:p>
    <w:p>
      <w:pPr>
        <w:spacing w:line="240" w:lineRule="atLeast"/>
        <w:jc w:val="left"/>
        <w:rPr>
          <w:rFonts w:ascii="宋体" w:hAnsi="宋体"/>
          <w:sz w:val="24"/>
        </w:rPr>
      </w:pPr>
      <w:r>
        <w:rPr>
          <w:rFonts w:hint="eastAsia" w:ascii="宋体" w:hAnsi="宋体"/>
          <w:sz w:val="24"/>
        </w:rPr>
        <w:t>A. 太高了</w:t>
      </w:r>
    </w:p>
    <w:p>
      <w:pPr>
        <w:spacing w:line="240" w:lineRule="atLeast"/>
        <w:jc w:val="left"/>
        <w:rPr>
          <w:rFonts w:ascii="宋体" w:hAnsi="宋体"/>
          <w:sz w:val="24"/>
        </w:rPr>
      </w:pPr>
      <w:r>
        <w:rPr>
          <w:rFonts w:hint="eastAsia" w:ascii="宋体" w:hAnsi="宋体"/>
          <w:sz w:val="24"/>
        </w:rPr>
        <w:t>B. 偏高</w:t>
      </w:r>
    </w:p>
    <w:p>
      <w:pPr>
        <w:spacing w:line="240" w:lineRule="atLeast"/>
        <w:jc w:val="left"/>
        <w:rPr>
          <w:rFonts w:ascii="宋体" w:hAnsi="宋体"/>
          <w:sz w:val="24"/>
        </w:rPr>
      </w:pPr>
      <w:r>
        <w:rPr>
          <w:rFonts w:hint="eastAsia" w:ascii="宋体" w:hAnsi="宋体"/>
          <w:sz w:val="24"/>
        </w:rPr>
        <w:t>C. 正常</w:t>
      </w:r>
    </w:p>
    <w:p>
      <w:pPr>
        <w:spacing w:line="240" w:lineRule="atLeast"/>
        <w:jc w:val="left"/>
        <w:rPr>
          <w:rFonts w:ascii="宋体" w:hAnsi="宋体"/>
          <w:sz w:val="24"/>
        </w:rPr>
      </w:pPr>
      <w:r>
        <w:rPr>
          <w:rFonts w:hint="eastAsia" w:ascii="宋体" w:hAnsi="宋体"/>
          <w:sz w:val="24"/>
        </w:rPr>
        <w:t>D. 偏低</w:t>
      </w:r>
    </w:p>
    <w:p>
      <w:pPr>
        <w:numPr>
          <w:ilvl w:val="0"/>
          <w:numId w:val="1"/>
        </w:numPr>
        <w:spacing w:line="240" w:lineRule="atLeast"/>
        <w:jc w:val="left"/>
        <w:rPr>
          <w:rFonts w:ascii="宋体" w:hAnsi="宋体"/>
          <w:b/>
          <w:bCs/>
          <w:sz w:val="24"/>
        </w:rPr>
      </w:pPr>
      <w:r>
        <w:rPr>
          <w:rFonts w:hint="eastAsia" w:ascii="宋体" w:hAnsi="宋体"/>
          <w:b/>
          <w:bCs/>
          <w:sz w:val="24"/>
        </w:rPr>
        <w:t>过去一年时间内，您购买的不同产品或接受的不同服务（含同一类型的不同产品或服务）的数量是：</w:t>
      </w:r>
    </w:p>
    <w:p>
      <w:pPr>
        <w:numPr>
          <w:ilvl w:val="0"/>
          <w:numId w:val="6"/>
        </w:numPr>
        <w:spacing w:line="240" w:lineRule="atLeast"/>
        <w:jc w:val="left"/>
        <w:rPr>
          <w:rFonts w:ascii="宋体" w:hAnsi="宋体"/>
          <w:sz w:val="24"/>
        </w:rPr>
      </w:pPr>
      <w:r>
        <w:rPr>
          <w:rFonts w:hint="eastAsia" w:ascii="宋体" w:hAnsi="宋体"/>
          <w:sz w:val="24"/>
        </w:rPr>
        <w:t>5个以下</w:t>
      </w:r>
    </w:p>
    <w:p>
      <w:pPr>
        <w:numPr>
          <w:ilvl w:val="0"/>
          <w:numId w:val="6"/>
        </w:numPr>
        <w:spacing w:line="240" w:lineRule="atLeast"/>
        <w:jc w:val="left"/>
        <w:rPr>
          <w:rFonts w:ascii="宋体" w:hAnsi="宋体"/>
          <w:sz w:val="24"/>
        </w:rPr>
      </w:pPr>
      <w:r>
        <w:rPr>
          <w:rFonts w:hint="eastAsia" w:ascii="宋体" w:hAnsi="宋体"/>
          <w:sz w:val="24"/>
        </w:rPr>
        <w:t>6至10个</w:t>
      </w:r>
    </w:p>
    <w:p>
      <w:pPr>
        <w:numPr>
          <w:ilvl w:val="0"/>
          <w:numId w:val="6"/>
        </w:numPr>
        <w:spacing w:line="240" w:lineRule="atLeast"/>
        <w:jc w:val="left"/>
        <w:rPr>
          <w:rFonts w:ascii="宋体" w:hAnsi="宋体"/>
          <w:sz w:val="24"/>
        </w:rPr>
      </w:pPr>
      <w:r>
        <w:rPr>
          <w:rFonts w:hint="eastAsia" w:ascii="宋体" w:hAnsi="宋体"/>
          <w:sz w:val="24"/>
        </w:rPr>
        <w:t>11至15个</w:t>
      </w:r>
    </w:p>
    <w:p>
      <w:pPr>
        <w:numPr>
          <w:ilvl w:val="0"/>
          <w:numId w:val="6"/>
        </w:numPr>
        <w:spacing w:line="240" w:lineRule="atLeast"/>
        <w:jc w:val="left"/>
        <w:rPr>
          <w:rFonts w:ascii="宋体" w:hAnsi="宋体"/>
          <w:sz w:val="24"/>
        </w:rPr>
      </w:pPr>
      <w:r>
        <w:rPr>
          <w:rFonts w:hint="eastAsia" w:ascii="宋体" w:hAnsi="宋体"/>
          <w:sz w:val="24"/>
        </w:rPr>
        <w:t>16个以上</w:t>
      </w:r>
    </w:p>
    <w:p>
      <w:pPr>
        <w:numPr>
          <w:ilvl w:val="0"/>
          <w:numId w:val="1"/>
        </w:numPr>
        <w:spacing w:line="240" w:lineRule="atLeast"/>
        <w:jc w:val="left"/>
        <w:rPr>
          <w:rFonts w:ascii="宋体" w:hAnsi="宋体"/>
          <w:b/>
          <w:bCs/>
          <w:sz w:val="24"/>
        </w:rPr>
      </w:pPr>
      <w:r>
        <w:rPr>
          <w:rFonts w:hint="eastAsia" w:ascii="宋体" w:hAnsi="宋体"/>
          <w:b/>
          <w:bCs/>
          <w:sz w:val="24"/>
        </w:rPr>
        <w:t>以下金融产品或服务，您投资经验在两年以上的有：</w:t>
      </w:r>
    </w:p>
    <w:p>
      <w:pPr>
        <w:numPr>
          <w:ilvl w:val="0"/>
          <w:numId w:val="7"/>
        </w:numPr>
        <w:spacing w:line="240" w:lineRule="atLeast"/>
        <w:jc w:val="left"/>
        <w:rPr>
          <w:rFonts w:ascii="宋体" w:hAnsi="宋体"/>
          <w:sz w:val="24"/>
        </w:rPr>
      </w:pPr>
      <w:r>
        <w:rPr>
          <w:rFonts w:hint="eastAsia" w:ascii="宋体" w:hAnsi="宋体"/>
          <w:sz w:val="24"/>
        </w:rPr>
        <w:t>银行存款等</w:t>
      </w:r>
    </w:p>
    <w:p>
      <w:pPr>
        <w:numPr>
          <w:ilvl w:val="0"/>
          <w:numId w:val="7"/>
        </w:numPr>
        <w:spacing w:line="240" w:lineRule="atLeast"/>
        <w:jc w:val="left"/>
        <w:rPr>
          <w:rFonts w:ascii="宋体" w:hAnsi="宋体"/>
          <w:sz w:val="24"/>
        </w:rPr>
      </w:pPr>
      <w:r>
        <w:rPr>
          <w:rFonts w:hint="eastAsia" w:ascii="宋体" w:hAnsi="宋体"/>
          <w:sz w:val="24"/>
        </w:rPr>
        <w:t>债券、货币市场基金、债券型基金或其它固定收益类产品等</w:t>
      </w:r>
    </w:p>
    <w:p>
      <w:pPr>
        <w:numPr>
          <w:ilvl w:val="0"/>
          <w:numId w:val="7"/>
        </w:numPr>
        <w:spacing w:line="240" w:lineRule="atLeast"/>
        <w:jc w:val="left"/>
        <w:rPr>
          <w:rFonts w:ascii="宋体" w:hAnsi="宋体"/>
          <w:sz w:val="24"/>
        </w:rPr>
      </w:pPr>
      <w:r>
        <w:rPr>
          <w:rFonts w:hint="eastAsia" w:ascii="宋体" w:hAnsi="宋体"/>
          <w:sz w:val="24"/>
        </w:rPr>
        <w:t>股票、混合型基金、偏股型基金、股票型基金等权益类投资品种等</w:t>
      </w:r>
    </w:p>
    <w:p>
      <w:pPr>
        <w:numPr>
          <w:ilvl w:val="0"/>
          <w:numId w:val="7"/>
        </w:numPr>
        <w:spacing w:line="240" w:lineRule="atLeast"/>
        <w:jc w:val="left"/>
        <w:rPr>
          <w:rFonts w:ascii="宋体" w:hAnsi="宋体"/>
          <w:sz w:val="24"/>
        </w:rPr>
      </w:pPr>
      <w:r>
        <w:rPr>
          <w:rFonts w:hint="eastAsia" w:ascii="宋体" w:hAnsi="宋体"/>
          <w:sz w:val="24"/>
        </w:rPr>
        <w:t>期货、期权、融资融券</w:t>
      </w:r>
    </w:p>
    <w:p>
      <w:pPr>
        <w:numPr>
          <w:ilvl w:val="0"/>
          <w:numId w:val="7"/>
        </w:numPr>
        <w:spacing w:line="240" w:lineRule="atLeast"/>
        <w:jc w:val="left"/>
        <w:rPr>
          <w:rFonts w:ascii="宋体" w:hAnsi="宋体"/>
          <w:sz w:val="24"/>
        </w:rPr>
      </w:pPr>
      <w:r>
        <w:rPr>
          <w:rFonts w:hint="eastAsia" w:ascii="宋体" w:hAnsi="宋体"/>
          <w:sz w:val="24"/>
        </w:rPr>
        <w:t>复杂金融产品、其他产品或服务</w:t>
      </w:r>
    </w:p>
    <w:p>
      <w:pPr>
        <w:spacing w:line="240" w:lineRule="atLeast"/>
        <w:jc w:val="left"/>
        <w:rPr>
          <w:rFonts w:ascii="宋体" w:hAnsi="宋体"/>
          <w:sz w:val="24"/>
        </w:rPr>
      </w:pPr>
      <w:r>
        <w:rPr>
          <w:rFonts w:hint="eastAsia" w:ascii="宋体" w:hAnsi="宋体"/>
          <w:sz w:val="24"/>
        </w:rPr>
        <w:t>（注：本题可多选，但评分以其中最高分值选项为准。）</w:t>
      </w:r>
    </w:p>
    <w:p>
      <w:pPr>
        <w:numPr>
          <w:ilvl w:val="0"/>
          <w:numId w:val="1"/>
        </w:numPr>
        <w:spacing w:line="240" w:lineRule="atLeast"/>
        <w:jc w:val="left"/>
        <w:rPr>
          <w:rFonts w:ascii="宋体" w:hAnsi="宋体"/>
          <w:b/>
          <w:bCs/>
          <w:sz w:val="24"/>
        </w:rPr>
      </w:pPr>
      <w:r>
        <w:rPr>
          <w:rFonts w:hint="eastAsia" w:ascii="宋体" w:hAnsi="宋体"/>
          <w:b/>
          <w:bCs/>
          <w:sz w:val="24"/>
        </w:rPr>
        <w:t>如果您曾经从事过金融市场投资，在交易较为活跃的月份，平均月交易额大概是多少：</w:t>
      </w:r>
    </w:p>
    <w:p>
      <w:pPr>
        <w:spacing w:line="240" w:lineRule="atLeast"/>
        <w:jc w:val="left"/>
        <w:rPr>
          <w:rFonts w:ascii="宋体" w:hAnsi="宋体"/>
          <w:sz w:val="24"/>
        </w:rPr>
      </w:pPr>
      <w:r>
        <w:rPr>
          <w:rFonts w:hint="eastAsia" w:ascii="宋体" w:hAnsi="宋体"/>
          <w:sz w:val="24"/>
        </w:rPr>
        <w:t>A. 10万元以内</w:t>
      </w:r>
    </w:p>
    <w:p>
      <w:pPr>
        <w:spacing w:line="240" w:lineRule="atLeast"/>
        <w:jc w:val="left"/>
        <w:rPr>
          <w:rFonts w:ascii="宋体" w:hAnsi="宋体"/>
          <w:sz w:val="24"/>
        </w:rPr>
      </w:pPr>
      <w:r>
        <w:rPr>
          <w:rFonts w:hint="eastAsia" w:ascii="宋体" w:hAnsi="宋体"/>
          <w:sz w:val="24"/>
        </w:rPr>
        <w:t>B. 10万元-30万元</w:t>
      </w:r>
    </w:p>
    <w:p>
      <w:pPr>
        <w:spacing w:line="240" w:lineRule="atLeast"/>
        <w:jc w:val="left"/>
        <w:rPr>
          <w:rFonts w:ascii="宋体" w:hAnsi="宋体"/>
          <w:sz w:val="24"/>
        </w:rPr>
      </w:pPr>
      <w:r>
        <w:rPr>
          <w:rFonts w:hint="eastAsia" w:ascii="宋体" w:hAnsi="宋体"/>
          <w:sz w:val="24"/>
        </w:rPr>
        <w:t>C. 30万元-100万元</w:t>
      </w:r>
    </w:p>
    <w:p>
      <w:pPr>
        <w:spacing w:line="240" w:lineRule="atLeast"/>
        <w:jc w:val="left"/>
        <w:rPr>
          <w:rFonts w:ascii="宋体" w:hAnsi="宋体"/>
          <w:sz w:val="24"/>
        </w:rPr>
      </w:pPr>
      <w:r>
        <w:rPr>
          <w:rFonts w:hint="eastAsia" w:ascii="宋体" w:hAnsi="宋体"/>
          <w:sz w:val="24"/>
        </w:rPr>
        <w:t>D. 100万元以上</w:t>
      </w:r>
    </w:p>
    <w:p>
      <w:pPr>
        <w:spacing w:line="240" w:lineRule="atLeast"/>
        <w:jc w:val="left"/>
        <w:rPr>
          <w:rFonts w:ascii="宋体" w:hAnsi="宋体"/>
          <w:sz w:val="24"/>
        </w:rPr>
      </w:pPr>
      <w:r>
        <w:rPr>
          <w:rFonts w:hint="eastAsia" w:ascii="宋体" w:hAnsi="宋体"/>
          <w:sz w:val="24"/>
        </w:rPr>
        <w:t>E. 从未从事过金融市场投资</w:t>
      </w:r>
    </w:p>
    <w:p>
      <w:pPr>
        <w:spacing w:line="240" w:lineRule="atLeast"/>
        <w:jc w:val="left"/>
        <w:rPr>
          <w:rFonts w:ascii="宋体" w:hAnsi="宋体"/>
          <w:sz w:val="24"/>
        </w:rPr>
      </w:pPr>
    </w:p>
    <w:p>
      <w:pPr>
        <w:spacing w:line="240" w:lineRule="atLeast"/>
        <w:jc w:val="left"/>
        <w:rPr>
          <w:rFonts w:ascii="宋体" w:hAnsi="宋体"/>
          <w:b/>
          <w:bCs/>
          <w:sz w:val="24"/>
        </w:rPr>
      </w:pPr>
      <w:r>
        <w:rPr>
          <w:rFonts w:hint="eastAsia" w:ascii="宋体" w:hAnsi="宋体"/>
          <w:b/>
          <w:bCs/>
          <w:sz w:val="24"/>
        </w:rPr>
        <w:t>四、投资目标</w:t>
      </w:r>
    </w:p>
    <w:p>
      <w:pPr>
        <w:numPr>
          <w:ilvl w:val="0"/>
          <w:numId w:val="1"/>
        </w:numPr>
        <w:spacing w:line="240" w:lineRule="atLeast"/>
        <w:jc w:val="left"/>
        <w:rPr>
          <w:rFonts w:ascii="宋体" w:hAnsi="宋体"/>
          <w:b/>
          <w:bCs/>
          <w:sz w:val="24"/>
        </w:rPr>
      </w:pPr>
      <w:r>
        <w:rPr>
          <w:rFonts w:hint="eastAsia" w:ascii="宋体" w:hAnsi="宋体"/>
          <w:b/>
          <w:bCs/>
          <w:sz w:val="24"/>
        </w:rPr>
        <w:t>您用于证券投资的大部分资金不会用作其它用途的时间段为：</w:t>
      </w:r>
    </w:p>
    <w:p>
      <w:pPr>
        <w:spacing w:line="240" w:lineRule="atLeast"/>
        <w:jc w:val="left"/>
        <w:rPr>
          <w:rFonts w:ascii="宋体" w:hAnsi="宋体"/>
          <w:sz w:val="24"/>
        </w:rPr>
      </w:pPr>
      <w:r>
        <w:rPr>
          <w:rFonts w:hint="eastAsia" w:ascii="宋体" w:hAnsi="宋体"/>
          <w:sz w:val="24"/>
        </w:rPr>
        <w:t>A．0到1年</w:t>
      </w:r>
    </w:p>
    <w:p>
      <w:pPr>
        <w:spacing w:line="240" w:lineRule="atLeast"/>
        <w:jc w:val="left"/>
        <w:rPr>
          <w:rFonts w:ascii="宋体" w:hAnsi="宋体"/>
          <w:sz w:val="24"/>
        </w:rPr>
      </w:pPr>
      <w:r>
        <w:rPr>
          <w:rFonts w:hint="eastAsia" w:ascii="宋体" w:hAnsi="宋体"/>
          <w:sz w:val="24"/>
        </w:rPr>
        <w:t>B．1到5年</w:t>
      </w:r>
    </w:p>
    <w:p>
      <w:pPr>
        <w:spacing w:line="240" w:lineRule="atLeast"/>
        <w:jc w:val="left"/>
        <w:rPr>
          <w:rFonts w:ascii="宋体" w:hAnsi="宋体"/>
          <w:sz w:val="24"/>
        </w:rPr>
      </w:pPr>
      <w:r>
        <w:rPr>
          <w:rFonts w:hint="eastAsia" w:ascii="宋体" w:hAnsi="宋体"/>
          <w:sz w:val="24"/>
        </w:rPr>
        <w:t>C．无特别要求</w:t>
      </w:r>
    </w:p>
    <w:p>
      <w:pPr>
        <w:numPr>
          <w:ilvl w:val="0"/>
          <w:numId w:val="1"/>
        </w:numPr>
        <w:spacing w:line="240" w:lineRule="atLeast"/>
        <w:jc w:val="left"/>
        <w:rPr>
          <w:rFonts w:ascii="宋体" w:hAnsi="宋体"/>
          <w:b/>
          <w:bCs/>
          <w:sz w:val="24"/>
        </w:rPr>
      </w:pPr>
      <w:r>
        <w:rPr>
          <w:rFonts w:hint="eastAsia" w:ascii="宋体" w:hAnsi="宋体"/>
          <w:b/>
          <w:bCs/>
          <w:sz w:val="24"/>
        </w:rPr>
        <w:t>您打算重点投资于哪些种类的投资品种？</w:t>
      </w:r>
    </w:p>
    <w:p>
      <w:pPr>
        <w:spacing w:line="240" w:lineRule="atLeast"/>
        <w:jc w:val="left"/>
        <w:rPr>
          <w:rFonts w:ascii="宋体" w:hAnsi="宋体"/>
          <w:sz w:val="24"/>
        </w:rPr>
      </w:pPr>
      <w:r>
        <w:rPr>
          <w:rFonts w:hint="eastAsia" w:ascii="宋体" w:hAnsi="宋体"/>
          <w:sz w:val="24"/>
        </w:rPr>
        <w:t>A.  债券、货币市场基金、债券基金等固定收益类投资品种</w:t>
      </w:r>
    </w:p>
    <w:p>
      <w:pPr>
        <w:spacing w:line="240" w:lineRule="atLeast"/>
        <w:jc w:val="left"/>
        <w:rPr>
          <w:rFonts w:ascii="宋体" w:hAnsi="宋体"/>
          <w:b/>
          <w:bCs/>
          <w:sz w:val="24"/>
        </w:rPr>
      </w:pPr>
      <w:r>
        <w:rPr>
          <w:rFonts w:hint="eastAsia" w:ascii="宋体" w:hAnsi="宋体"/>
          <w:sz w:val="24"/>
        </w:rPr>
        <w:t>B.  股票、混合型基金、偏股型基金、股票型基金等权益类投资品种</w:t>
      </w:r>
    </w:p>
    <w:p>
      <w:pPr>
        <w:spacing w:line="240" w:lineRule="atLeast"/>
        <w:jc w:val="left"/>
        <w:rPr>
          <w:rFonts w:ascii="宋体" w:hAnsi="宋体"/>
          <w:sz w:val="24"/>
        </w:rPr>
      </w:pPr>
      <w:r>
        <w:rPr>
          <w:rFonts w:hint="eastAsia" w:ascii="宋体" w:hAnsi="宋体"/>
          <w:bCs/>
          <w:sz w:val="24"/>
        </w:rPr>
        <w:t>C.</w:t>
      </w:r>
      <w:r>
        <w:rPr>
          <w:rFonts w:hint="eastAsia" w:ascii="宋体" w:hAnsi="宋体"/>
          <w:b/>
          <w:bCs/>
          <w:sz w:val="24"/>
        </w:rPr>
        <w:t xml:space="preserve"> </w:t>
      </w:r>
      <w:r>
        <w:rPr>
          <w:rFonts w:hint="eastAsia" w:ascii="宋体" w:hAnsi="宋体"/>
          <w:sz w:val="24"/>
        </w:rPr>
        <w:t xml:space="preserve"> 期货、期权、融资融券等</w:t>
      </w:r>
    </w:p>
    <w:p>
      <w:pPr>
        <w:spacing w:line="240" w:lineRule="atLeast"/>
        <w:jc w:val="left"/>
        <w:rPr>
          <w:rFonts w:ascii="宋体" w:hAnsi="宋体"/>
          <w:sz w:val="24"/>
        </w:rPr>
      </w:pPr>
      <w:r>
        <w:rPr>
          <w:rFonts w:hint="eastAsia" w:ascii="宋体" w:hAnsi="宋体"/>
          <w:sz w:val="24"/>
        </w:rPr>
        <w:t>D.  高风险金融产品或服务</w:t>
      </w:r>
    </w:p>
    <w:p>
      <w:pPr>
        <w:spacing w:line="240" w:lineRule="atLeast"/>
        <w:jc w:val="left"/>
        <w:rPr>
          <w:rFonts w:ascii="宋体" w:hAnsi="宋体"/>
          <w:sz w:val="24"/>
        </w:rPr>
      </w:pPr>
      <w:r>
        <w:rPr>
          <w:rFonts w:hint="eastAsia" w:ascii="宋体" w:hAnsi="宋体"/>
          <w:sz w:val="24"/>
        </w:rPr>
        <w:t>E.  其他产品或服务</w:t>
      </w:r>
    </w:p>
    <w:p>
      <w:pPr>
        <w:spacing w:line="240" w:lineRule="atLeast"/>
        <w:jc w:val="left"/>
        <w:rPr>
          <w:rFonts w:ascii="宋体" w:hAnsi="宋体"/>
          <w:sz w:val="24"/>
        </w:rPr>
      </w:pPr>
      <w:r>
        <w:rPr>
          <w:rFonts w:hint="eastAsia" w:ascii="宋体" w:hAnsi="宋体"/>
          <w:sz w:val="24"/>
        </w:rPr>
        <w:t>（注：本题可多选，但评分以其中最高分值选项为准。）</w:t>
      </w:r>
    </w:p>
    <w:p>
      <w:pPr>
        <w:numPr>
          <w:ilvl w:val="0"/>
          <w:numId w:val="1"/>
        </w:numPr>
        <w:spacing w:line="240" w:lineRule="atLeast"/>
        <w:jc w:val="left"/>
        <w:rPr>
          <w:rFonts w:ascii="宋体" w:hAnsi="宋体"/>
          <w:b/>
          <w:bCs/>
          <w:sz w:val="24"/>
        </w:rPr>
      </w:pPr>
      <w:r>
        <w:rPr>
          <w:rFonts w:hint="eastAsia" w:ascii="宋体" w:hAnsi="宋体"/>
          <w:b/>
          <w:bCs/>
          <w:sz w:val="24"/>
        </w:rPr>
        <w:t xml:space="preserve">假设有两种不同的投资：投资A期望获得5%的收益，有可能承担非常小的损失；投资B期望获得20%的收益，但有可能面临25%甚至更高的亏损。您将您的投资资产分配为： </w:t>
      </w:r>
    </w:p>
    <w:p>
      <w:pPr>
        <w:spacing w:line="240" w:lineRule="atLeast"/>
        <w:jc w:val="left"/>
        <w:rPr>
          <w:rFonts w:ascii="宋体" w:hAnsi="宋体"/>
          <w:sz w:val="24"/>
        </w:rPr>
      </w:pPr>
      <w:r>
        <w:rPr>
          <w:rFonts w:hint="eastAsia" w:ascii="宋体" w:hAnsi="宋体"/>
          <w:sz w:val="24"/>
        </w:rPr>
        <w:t>A．全部投资于A</w:t>
      </w:r>
    </w:p>
    <w:p>
      <w:pPr>
        <w:spacing w:line="240" w:lineRule="atLeast"/>
        <w:jc w:val="left"/>
        <w:rPr>
          <w:rFonts w:ascii="宋体" w:hAnsi="宋体"/>
          <w:sz w:val="24"/>
        </w:rPr>
      </w:pPr>
      <w:r>
        <w:rPr>
          <w:rFonts w:hint="eastAsia" w:ascii="宋体" w:hAnsi="宋体"/>
          <w:sz w:val="24"/>
        </w:rPr>
        <w:t>B．大部分投资于A</w:t>
      </w:r>
    </w:p>
    <w:p>
      <w:pPr>
        <w:spacing w:line="240" w:lineRule="atLeast"/>
        <w:jc w:val="left"/>
        <w:rPr>
          <w:rFonts w:ascii="宋体" w:hAnsi="宋体"/>
          <w:sz w:val="24"/>
        </w:rPr>
      </w:pPr>
      <w:r>
        <w:rPr>
          <w:rFonts w:hint="eastAsia" w:ascii="宋体" w:hAnsi="宋体"/>
          <w:sz w:val="24"/>
        </w:rPr>
        <w:t>C．两种投资各一半</w:t>
      </w:r>
    </w:p>
    <w:p>
      <w:pPr>
        <w:spacing w:line="240" w:lineRule="atLeast"/>
        <w:jc w:val="left"/>
        <w:rPr>
          <w:rFonts w:ascii="宋体" w:hAnsi="宋体"/>
          <w:sz w:val="24"/>
        </w:rPr>
      </w:pPr>
      <w:r>
        <w:rPr>
          <w:rFonts w:hint="eastAsia" w:ascii="宋体" w:hAnsi="宋体"/>
          <w:sz w:val="24"/>
        </w:rPr>
        <w:t>D．大部分投资于B</w:t>
      </w:r>
    </w:p>
    <w:p>
      <w:pPr>
        <w:spacing w:line="240" w:lineRule="atLeast"/>
        <w:jc w:val="left"/>
        <w:rPr>
          <w:rFonts w:ascii="宋体" w:hAnsi="宋体"/>
          <w:sz w:val="24"/>
        </w:rPr>
      </w:pPr>
      <w:r>
        <w:rPr>
          <w:rFonts w:hint="eastAsia" w:ascii="宋体" w:hAnsi="宋体"/>
          <w:sz w:val="24"/>
        </w:rPr>
        <w:t>E．全部投资于B</w:t>
      </w:r>
    </w:p>
    <w:p>
      <w:pPr>
        <w:numPr>
          <w:ilvl w:val="0"/>
          <w:numId w:val="1"/>
        </w:numPr>
        <w:spacing w:line="240" w:lineRule="atLeast"/>
        <w:jc w:val="left"/>
        <w:rPr>
          <w:rFonts w:ascii="宋体" w:hAnsi="宋体"/>
          <w:b/>
          <w:bCs/>
          <w:sz w:val="24"/>
        </w:rPr>
      </w:pPr>
      <w:r>
        <w:rPr>
          <w:rFonts w:hint="eastAsia" w:ascii="宋体" w:hAnsi="宋体"/>
          <w:b/>
          <w:bCs/>
          <w:sz w:val="24"/>
        </w:rPr>
        <w:t>当您进行投资时，您的期望收益是：</w:t>
      </w:r>
    </w:p>
    <w:p>
      <w:pPr>
        <w:spacing w:line="240" w:lineRule="atLeast"/>
        <w:jc w:val="left"/>
        <w:rPr>
          <w:rFonts w:ascii="宋体" w:hAnsi="宋体"/>
          <w:sz w:val="24"/>
        </w:rPr>
      </w:pPr>
      <w:r>
        <w:rPr>
          <w:rFonts w:hint="eastAsia" w:ascii="宋体" w:hAnsi="宋体"/>
          <w:sz w:val="24"/>
        </w:rPr>
        <w:t>A．尽可能保证本金安全，不在乎收益率比较低</w:t>
      </w:r>
    </w:p>
    <w:p>
      <w:pPr>
        <w:spacing w:line="240" w:lineRule="atLeast"/>
        <w:jc w:val="left"/>
        <w:rPr>
          <w:rFonts w:ascii="宋体" w:hAnsi="宋体"/>
          <w:sz w:val="24"/>
        </w:rPr>
      </w:pPr>
      <w:r>
        <w:rPr>
          <w:rFonts w:hint="eastAsia" w:ascii="宋体" w:hAnsi="宋体"/>
          <w:sz w:val="24"/>
        </w:rPr>
        <w:t>B．</w:t>
      </w:r>
      <w:r>
        <w:rPr>
          <w:rFonts w:ascii="宋体" w:hAnsi="宋体"/>
          <w:sz w:val="24"/>
        </w:rPr>
        <w:t>产生一定的收益，</w:t>
      </w:r>
      <w:r>
        <w:rPr>
          <w:rFonts w:hint="eastAsia" w:ascii="宋体" w:hAnsi="宋体"/>
          <w:sz w:val="24"/>
        </w:rPr>
        <w:t>可以</w:t>
      </w:r>
      <w:r>
        <w:rPr>
          <w:rFonts w:ascii="宋体" w:hAnsi="宋体"/>
          <w:sz w:val="24"/>
        </w:rPr>
        <w:t>承担一定的投资风险</w:t>
      </w:r>
    </w:p>
    <w:p>
      <w:pPr>
        <w:spacing w:line="240" w:lineRule="atLeast"/>
        <w:jc w:val="left"/>
        <w:rPr>
          <w:rFonts w:ascii="宋体" w:hAnsi="宋体"/>
          <w:sz w:val="24"/>
        </w:rPr>
      </w:pPr>
      <w:r>
        <w:rPr>
          <w:rFonts w:hint="eastAsia" w:ascii="宋体" w:hAnsi="宋体"/>
          <w:sz w:val="24"/>
        </w:rPr>
        <w:t>C．产生较多的收益，可以承担</w:t>
      </w:r>
      <w:r>
        <w:rPr>
          <w:rFonts w:ascii="宋体" w:hAnsi="宋体"/>
          <w:sz w:val="24"/>
        </w:rPr>
        <w:t>较大</w:t>
      </w:r>
      <w:r>
        <w:rPr>
          <w:rFonts w:hint="eastAsia" w:ascii="宋体" w:hAnsi="宋体"/>
          <w:sz w:val="24"/>
        </w:rPr>
        <w:t>的投资风险</w:t>
      </w:r>
    </w:p>
    <w:p>
      <w:pPr>
        <w:spacing w:line="240" w:lineRule="atLeast"/>
        <w:jc w:val="left"/>
        <w:rPr>
          <w:rFonts w:ascii="宋体" w:hAnsi="宋体"/>
          <w:sz w:val="24"/>
        </w:rPr>
      </w:pPr>
      <w:r>
        <w:rPr>
          <w:rFonts w:hint="eastAsia" w:ascii="宋体" w:hAnsi="宋体"/>
          <w:sz w:val="24"/>
        </w:rPr>
        <w:t>D．实现资产大幅增长，愿意承担很大的投资风险</w:t>
      </w:r>
    </w:p>
    <w:p>
      <w:pPr>
        <w:spacing w:line="240" w:lineRule="atLeast"/>
        <w:jc w:val="left"/>
        <w:rPr>
          <w:rFonts w:ascii="宋体" w:hAnsi="宋体"/>
          <w:sz w:val="24"/>
        </w:rPr>
      </w:pPr>
    </w:p>
    <w:p>
      <w:pPr>
        <w:spacing w:line="240" w:lineRule="atLeast"/>
        <w:jc w:val="left"/>
        <w:rPr>
          <w:rFonts w:ascii="宋体" w:hAnsi="宋体"/>
          <w:b/>
          <w:bCs/>
          <w:sz w:val="24"/>
        </w:rPr>
      </w:pPr>
      <w:r>
        <w:rPr>
          <w:rFonts w:hint="eastAsia" w:ascii="宋体" w:hAnsi="宋体"/>
          <w:b/>
          <w:bCs/>
          <w:sz w:val="24"/>
        </w:rPr>
        <w:t>五、风险偏好</w:t>
      </w:r>
    </w:p>
    <w:p>
      <w:pPr>
        <w:numPr>
          <w:ilvl w:val="0"/>
          <w:numId w:val="1"/>
        </w:numPr>
        <w:spacing w:line="240" w:lineRule="atLeast"/>
        <w:jc w:val="left"/>
        <w:rPr>
          <w:rFonts w:ascii="宋体" w:hAnsi="宋体"/>
          <w:b/>
          <w:bCs/>
          <w:sz w:val="24"/>
        </w:rPr>
      </w:pPr>
      <w:r>
        <w:rPr>
          <w:rFonts w:hint="eastAsia" w:ascii="宋体" w:hAnsi="宋体"/>
          <w:b/>
          <w:bCs/>
          <w:sz w:val="24"/>
        </w:rPr>
        <w:t>您认为自己能承受的最大投资损失是多少？</w:t>
      </w:r>
    </w:p>
    <w:p>
      <w:pPr>
        <w:spacing w:line="240" w:lineRule="atLeast"/>
        <w:jc w:val="left"/>
        <w:rPr>
          <w:rFonts w:ascii="宋体" w:hAnsi="宋体"/>
          <w:sz w:val="24"/>
        </w:rPr>
      </w:pPr>
      <w:r>
        <w:rPr>
          <w:rFonts w:hint="eastAsia" w:ascii="宋体" w:hAnsi="宋体"/>
          <w:sz w:val="24"/>
        </w:rPr>
        <w:t>A. 不能承受任何损失</w:t>
      </w:r>
    </w:p>
    <w:p>
      <w:pPr>
        <w:spacing w:line="240" w:lineRule="atLeast"/>
        <w:jc w:val="left"/>
        <w:rPr>
          <w:rFonts w:ascii="宋体" w:hAnsi="宋体"/>
          <w:sz w:val="24"/>
        </w:rPr>
      </w:pPr>
      <w:r>
        <w:rPr>
          <w:rFonts w:hint="eastAsia" w:ascii="宋体" w:hAnsi="宋体"/>
          <w:sz w:val="24"/>
        </w:rPr>
        <w:t xml:space="preserve">B. </w:t>
      </w:r>
      <w:r>
        <w:rPr>
          <w:rFonts w:ascii="宋体" w:hAnsi="宋体"/>
          <w:sz w:val="24"/>
        </w:rPr>
        <w:t>一定的投资</w:t>
      </w:r>
      <w:r>
        <w:rPr>
          <w:rFonts w:hint="eastAsia" w:ascii="宋体" w:hAnsi="宋体"/>
          <w:sz w:val="24"/>
        </w:rPr>
        <w:t>损失</w:t>
      </w:r>
    </w:p>
    <w:p>
      <w:pPr>
        <w:spacing w:line="240" w:lineRule="atLeast"/>
        <w:jc w:val="left"/>
        <w:rPr>
          <w:rFonts w:ascii="宋体" w:hAnsi="宋体"/>
          <w:sz w:val="24"/>
        </w:rPr>
      </w:pPr>
      <w:r>
        <w:rPr>
          <w:rFonts w:hint="eastAsia" w:ascii="宋体" w:hAnsi="宋体"/>
          <w:sz w:val="24"/>
        </w:rPr>
        <w:t xml:space="preserve">C. </w:t>
      </w:r>
      <w:r>
        <w:rPr>
          <w:rFonts w:ascii="宋体" w:hAnsi="宋体"/>
          <w:sz w:val="24"/>
        </w:rPr>
        <w:t>较大的投资损失</w:t>
      </w:r>
    </w:p>
    <w:p>
      <w:pPr>
        <w:spacing w:line="240" w:lineRule="atLeast"/>
        <w:jc w:val="left"/>
        <w:rPr>
          <w:rFonts w:ascii="宋体" w:hAnsi="宋体"/>
          <w:sz w:val="24"/>
        </w:rPr>
      </w:pPr>
      <w:r>
        <w:rPr>
          <w:rFonts w:hint="eastAsia" w:ascii="宋体" w:hAnsi="宋体"/>
          <w:sz w:val="24"/>
        </w:rPr>
        <w:t xml:space="preserve">D. </w:t>
      </w:r>
      <w:r>
        <w:rPr>
          <w:rFonts w:ascii="宋体" w:hAnsi="宋体"/>
          <w:sz w:val="24"/>
        </w:rPr>
        <w:t>损失可能超过本金</w:t>
      </w:r>
    </w:p>
    <w:p>
      <w:pPr>
        <w:spacing w:line="240" w:lineRule="atLeast"/>
        <w:jc w:val="left"/>
        <w:rPr>
          <w:rFonts w:ascii="宋体" w:hAnsi="宋体"/>
          <w:b/>
          <w:bCs/>
          <w:sz w:val="24"/>
        </w:rPr>
      </w:pPr>
      <w:r>
        <w:rPr>
          <w:rFonts w:hint="eastAsia" w:ascii="宋体" w:hAnsi="宋体"/>
          <w:b/>
          <w:bCs/>
          <w:sz w:val="24"/>
        </w:rPr>
        <w:t>16、您打算将自己的投资回报主要用于：</w:t>
      </w:r>
    </w:p>
    <w:p>
      <w:pPr>
        <w:numPr>
          <w:ilvl w:val="0"/>
          <w:numId w:val="8"/>
        </w:numPr>
        <w:spacing w:line="240" w:lineRule="atLeast"/>
        <w:jc w:val="left"/>
        <w:rPr>
          <w:rFonts w:ascii="宋体" w:hAnsi="宋体"/>
          <w:sz w:val="24"/>
        </w:rPr>
      </w:pPr>
      <w:r>
        <w:rPr>
          <w:rFonts w:hint="eastAsia" w:ascii="宋体" w:hAnsi="宋体"/>
          <w:sz w:val="24"/>
        </w:rPr>
        <w:t>改善生活</w:t>
      </w:r>
    </w:p>
    <w:p>
      <w:pPr>
        <w:numPr>
          <w:ilvl w:val="0"/>
          <w:numId w:val="8"/>
        </w:numPr>
        <w:spacing w:line="240" w:lineRule="atLeast"/>
        <w:jc w:val="left"/>
        <w:rPr>
          <w:rFonts w:ascii="宋体" w:hAnsi="宋体"/>
          <w:sz w:val="24"/>
        </w:rPr>
      </w:pPr>
      <w:r>
        <w:rPr>
          <w:rFonts w:hint="eastAsia" w:ascii="宋体" w:hAnsi="宋体"/>
          <w:sz w:val="24"/>
        </w:rPr>
        <w:t>个体生产经营或证券投资以外的投资行为</w:t>
      </w:r>
    </w:p>
    <w:p>
      <w:pPr>
        <w:numPr>
          <w:ilvl w:val="0"/>
          <w:numId w:val="8"/>
        </w:numPr>
        <w:spacing w:line="240" w:lineRule="atLeast"/>
        <w:jc w:val="left"/>
        <w:rPr>
          <w:rFonts w:ascii="宋体" w:hAnsi="宋体"/>
          <w:sz w:val="24"/>
        </w:rPr>
      </w:pPr>
      <w:r>
        <w:rPr>
          <w:rFonts w:hint="eastAsia" w:ascii="宋体" w:hAnsi="宋体"/>
          <w:sz w:val="24"/>
        </w:rPr>
        <w:t>履行扶养、抚养或赡养义务</w:t>
      </w:r>
    </w:p>
    <w:p>
      <w:pPr>
        <w:numPr>
          <w:ilvl w:val="0"/>
          <w:numId w:val="8"/>
        </w:numPr>
        <w:spacing w:line="240" w:lineRule="atLeast"/>
        <w:jc w:val="left"/>
        <w:rPr>
          <w:rFonts w:ascii="宋体" w:hAnsi="宋体"/>
          <w:sz w:val="24"/>
        </w:rPr>
      </w:pPr>
      <w:r>
        <w:rPr>
          <w:rFonts w:hint="eastAsia" w:ascii="宋体" w:hAnsi="宋体"/>
          <w:sz w:val="24"/>
        </w:rPr>
        <w:t>本人养老或医疗</w:t>
      </w:r>
    </w:p>
    <w:p>
      <w:pPr>
        <w:numPr>
          <w:ilvl w:val="0"/>
          <w:numId w:val="8"/>
        </w:numPr>
        <w:spacing w:line="240" w:lineRule="atLeast"/>
        <w:jc w:val="left"/>
        <w:rPr>
          <w:rFonts w:ascii="宋体" w:hAnsi="宋体"/>
          <w:sz w:val="24"/>
        </w:rPr>
      </w:pPr>
      <w:r>
        <w:rPr>
          <w:rFonts w:hint="eastAsia" w:ascii="宋体" w:hAnsi="宋体"/>
          <w:sz w:val="24"/>
        </w:rPr>
        <w:t>偿付债务</w:t>
      </w:r>
    </w:p>
    <w:p>
      <w:pPr>
        <w:spacing w:line="240" w:lineRule="atLeast"/>
        <w:jc w:val="left"/>
        <w:rPr>
          <w:rFonts w:ascii="宋体" w:hAnsi="宋体"/>
          <w:sz w:val="24"/>
        </w:rPr>
      </w:pPr>
    </w:p>
    <w:p>
      <w:pPr>
        <w:spacing w:line="240" w:lineRule="atLeast"/>
        <w:jc w:val="left"/>
        <w:rPr>
          <w:rFonts w:ascii="宋体" w:hAnsi="宋体"/>
          <w:b/>
          <w:bCs/>
          <w:sz w:val="24"/>
        </w:rPr>
      </w:pPr>
      <w:r>
        <w:rPr>
          <w:rFonts w:hint="eastAsia" w:ascii="宋体" w:hAnsi="宋体"/>
          <w:b/>
          <w:bCs/>
          <w:sz w:val="24"/>
        </w:rPr>
        <w:t>六、其他信息</w:t>
      </w:r>
    </w:p>
    <w:p>
      <w:pPr>
        <w:spacing w:line="560" w:lineRule="exact"/>
        <w:ind w:firstLine="600" w:firstLineChars="200"/>
        <w:rPr>
          <w:rFonts w:eastAsia="方正仿宋简体"/>
          <w:sz w:val="30"/>
          <w:szCs w:val="30"/>
        </w:rPr>
      </w:pPr>
    </w:p>
    <w:p>
      <w:pPr>
        <w:spacing w:line="240" w:lineRule="atLeast"/>
        <w:jc w:val="left"/>
        <w:rPr>
          <w:rFonts w:ascii="宋体" w:hAnsi="宋体"/>
          <w:b/>
          <w:bCs/>
          <w:sz w:val="24"/>
        </w:rPr>
      </w:pPr>
      <w:r>
        <w:rPr>
          <w:rFonts w:hint="eastAsia" w:ascii="宋体" w:hAnsi="宋体"/>
          <w:b/>
          <w:bCs/>
          <w:sz w:val="24"/>
        </w:rPr>
        <w:t>17、您的年龄是：</w:t>
      </w:r>
    </w:p>
    <w:p>
      <w:pPr>
        <w:spacing w:line="240" w:lineRule="atLeast"/>
        <w:jc w:val="left"/>
        <w:rPr>
          <w:rFonts w:ascii="宋体" w:hAnsi="宋体"/>
          <w:sz w:val="24"/>
        </w:rPr>
      </w:pPr>
      <w:r>
        <w:rPr>
          <w:rFonts w:hint="eastAsia" w:ascii="宋体" w:hAnsi="宋体"/>
          <w:sz w:val="24"/>
        </w:rPr>
        <w:t>A. 18-30岁</w:t>
      </w:r>
    </w:p>
    <w:p>
      <w:pPr>
        <w:spacing w:line="240" w:lineRule="atLeast"/>
        <w:jc w:val="left"/>
        <w:rPr>
          <w:rFonts w:ascii="宋体" w:hAnsi="宋体"/>
          <w:sz w:val="24"/>
        </w:rPr>
      </w:pPr>
      <w:r>
        <w:rPr>
          <w:rFonts w:hint="eastAsia" w:ascii="宋体" w:hAnsi="宋体"/>
          <w:sz w:val="24"/>
        </w:rPr>
        <w:t>B. 31-40岁</w:t>
      </w:r>
    </w:p>
    <w:p>
      <w:pPr>
        <w:spacing w:line="240" w:lineRule="atLeast"/>
        <w:jc w:val="left"/>
        <w:rPr>
          <w:rFonts w:ascii="宋体" w:hAnsi="宋体"/>
          <w:sz w:val="24"/>
        </w:rPr>
      </w:pPr>
      <w:r>
        <w:rPr>
          <w:rFonts w:hint="eastAsia" w:ascii="宋体" w:hAnsi="宋体"/>
          <w:sz w:val="24"/>
        </w:rPr>
        <w:t>C. 41-50岁</w:t>
      </w:r>
    </w:p>
    <w:p>
      <w:pPr>
        <w:spacing w:line="240" w:lineRule="atLeast"/>
        <w:jc w:val="left"/>
        <w:rPr>
          <w:rFonts w:ascii="宋体" w:hAnsi="宋体"/>
          <w:sz w:val="24"/>
        </w:rPr>
      </w:pPr>
      <w:r>
        <w:rPr>
          <w:rFonts w:hint="eastAsia" w:ascii="宋体" w:hAnsi="宋体"/>
          <w:sz w:val="24"/>
        </w:rPr>
        <w:t>D 51-60岁</w:t>
      </w:r>
    </w:p>
    <w:p>
      <w:pPr>
        <w:spacing w:line="240" w:lineRule="atLeast"/>
        <w:jc w:val="left"/>
        <w:rPr>
          <w:rFonts w:ascii="宋体" w:hAnsi="宋体"/>
          <w:sz w:val="24"/>
        </w:rPr>
      </w:pPr>
      <w:r>
        <w:rPr>
          <w:rFonts w:hint="eastAsia" w:ascii="宋体" w:hAnsi="宋体"/>
          <w:sz w:val="24"/>
        </w:rPr>
        <w:t>E. 超过60岁</w:t>
      </w:r>
    </w:p>
    <w:p>
      <w:pPr>
        <w:numPr>
          <w:ilvl w:val="0"/>
          <w:numId w:val="9"/>
        </w:numPr>
        <w:spacing w:line="240" w:lineRule="atLeast"/>
        <w:jc w:val="left"/>
        <w:rPr>
          <w:rFonts w:ascii="宋体" w:hAnsi="宋体"/>
          <w:b/>
          <w:bCs/>
          <w:sz w:val="24"/>
        </w:rPr>
      </w:pPr>
      <w:r>
        <w:rPr>
          <w:rFonts w:hint="eastAsia" w:ascii="宋体" w:hAnsi="宋体"/>
          <w:b/>
          <w:bCs/>
          <w:sz w:val="24"/>
        </w:rPr>
        <w:t>今后五年时间内，您的父母、配偶以及未成年子女等需负法定抚养、扶养和赡养义务的人数为：</w:t>
      </w:r>
    </w:p>
    <w:p>
      <w:pPr>
        <w:numPr>
          <w:ilvl w:val="0"/>
          <w:numId w:val="10"/>
        </w:numPr>
        <w:spacing w:line="240" w:lineRule="atLeast"/>
        <w:jc w:val="left"/>
        <w:rPr>
          <w:rFonts w:ascii="宋体" w:hAnsi="宋体"/>
          <w:sz w:val="24"/>
        </w:rPr>
      </w:pPr>
      <w:r>
        <w:rPr>
          <w:rFonts w:hint="eastAsia" w:ascii="宋体" w:hAnsi="宋体"/>
          <w:sz w:val="24"/>
        </w:rPr>
        <w:t>1-2人</w:t>
      </w:r>
    </w:p>
    <w:p>
      <w:pPr>
        <w:numPr>
          <w:ilvl w:val="0"/>
          <w:numId w:val="10"/>
        </w:numPr>
        <w:spacing w:line="240" w:lineRule="atLeast"/>
        <w:jc w:val="left"/>
        <w:rPr>
          <w:rFonts w:ascii="宋体" w:hAnsi="宋体"/>
          <w:sz w:val="24"/>
        </w:rPr>
      </w:pPr>
      <w:r>
        <w:rPr>
          <w:rFonts w:hint="eastAsia" w:ascii="宋体" w:hAnsi="宋体"/>
          <w:sz w:val="24"/>
        </w:rPr>
        <w:t>3-4人</w:t>
      </w:r>
    </w:p>
    <w:p>
      <w:pPr>
        <w:numPr>
          <w:ilvl w:val="0"/>
          <w:numId w:val="10"/>
        </w:numPr>
        <w:spacing w:line="240" w:lineRule="atLeast"/>
        <w:jc w:val="left"/>
        <w:rPr>
          <w:rFonts w:ascii="宋体" w:hAnsi="宋体"/>
          <w:sz w:val="24"/>
        </w:rPr>
      </w:pPr>
      <w:r>
        <w:rPr>
          <w:rFonts w:hint="eastAsia" w:ascii="宋体" w:hAnsi="宋体"/>
          <w:sz w:val="24"/>
        </w:rPr>
        <w:t>5人以上</w:t>
      </w:r>
    </w:p>
    <w:p>
      <w:pPr>
        <w:numPr>
          <w:ilvl w:val="0"/>
          <w:numId w:val="9"/>
        </w:numPr>
        <w:spacing w:line="240" w:lineRule="atLeast"/>
        <w:jc w:val="left"/>
        <w:rPr>
          <w:rFonts w:ascii="宋体" w:hAnsi="宋体"/>
          <w:b/>
          <w:bCs/>
          <w:sz w:val="24"/>
        </w:rPr>
      </w:pPr>
      <w:r>
        <w:rPr>
          <w:rFonts w:hint="eastAsia" w:ascii="宋体" w:hAnsi="宋体"/>
          <w:b/>
          <w:bCs/>
          <w:sz w:val="24"/>
        </w:rPr>
        <w:t>您的最高学历是：</w:t>
      </w:r>
    </w:p>
    <w:p>
      <w:pPr>
        <w:numPr>
          <w:ilvl w:val="0"/>
          <w:numId w:val="11"/>
        </w:numPr>
        <w:spacing w:line="240" w:lineRule="atLeast"/>
        <w:jc w:val="left"/>
        <w:rPr>
          <w:rFonts w:ascii="宋体" w:hAnsi="宋体"/>
          <w:sz w:val="24"/>
        </w:rPr>
      </w:pPr>
      <w:r>
        <w:rPr>
          <w:rFonts w:hint="eastAsia" w:ascii="宋体" w:hAnsi="宋体"/>
          <w:sz w:val="24"/>
        </w:rPr>
        <w:t>高中或以下</w:t>
      </w:r>
    </w:p>
    <w:p>
      <w:pPr>
        <w:numPr>
          <w:ilvl w:val="0"/>
          <w:numId w:val="11"/>
        </w:numPr>
        <w:spacing w:line="240" w:lineRule="atLeast"/>
        <w:jc w:val="left"/>
        <w:rPr>
          <w:rFonts w:ascii="宋体" w:hAnsi="宋体"/>
          <w:sz w:val="24"/>
        </w:rPr>
      </w:pPr>
      <w:r>
        <w:rPr>
          <w:rFonts w:hint="eastAsia" w:ascii="宋体" w:hAnsi="宋体"/>
          <w:sz w:val="24"/>
        </w:rPr>
        <w:t>大学专科</w:t>
      </w:r>
    </w:p>
    <w:p>
      <w:pPr>
        <w:numPr>
          <w:ilvl w:val="0"/>
          <w:numId w:val="11"/>
        </w:numPr>
        <w:spacing w:line="240" w:lineRule="atLeast"/>
        <w:jc w:val="left"/>
        <w:rPr>
          <w:rFonts w:ascii="宋体" w:hAnsi="宋体"/>
          <w:sz w:val="24"/>
        </w:rPr>
      </w:pPr>
      <w:r>
        <w:rPr>
          <w:rFonts w:hint="eastAsia" w:ascii="宋体" w:hAnsi="宋体"/>
          <w:sz w:val="24"/>
        </w:rPr>
        <w:t>大学本科</w:t>
      </w:r>
    </w:p>
    <w:p>
      <w:pPr>
        <w:numPr>
          <w:ilvl w:val="0"/>
          <w:numId w:val="11"/>
        </w:numPr>
        <w:spacing w:line="240" w:lineRule="atLeast"/>
        <w:jc w:val="left"/>
        <w:rPr>
          <w:rFonts w:ascii="宋体" w:hAnsi="宋体"/>
          <w:sz w:val="24"/>
        </w:rPr>
      </w:pPr>
      <w:r>
        <w:rPr>
          <w:rFonts w:hint="eastAsia" w:ascii="宋体" w:hAnsi="宋体"/>
          <w:sz w:val="24"/>
        </w:rPr>
        <w:t>硕士及以上</w:t>
      </w:r>
    </w:p>
    <w:p>
      <w:pPr>
        <w:numPr>
          <w:ilvl w:val="0"/>
          <w:numId w:val="9"/>
        </w:numPr>
        <w:spacing w:line="240" w:lineRule="atLeast"/>
        <w:jc w:val="left"/>
        <w:rPr>
          <w:rFonts w:ascii="宋体" w:hAnsi="宋体"/>
          <w:b/>
          <w:bCs/>
          <w:sz w:val="24"/>
        </w:rPr>
      </w:pPr>
      <w:r>
        <w:rPr>
          <w:rFonts w:hint="eastAsia" w:ascii="宋体" w:hAnsi="宋体"/>
          <w:b/>
          <w:bCs/>
          <w:sz w:val="24"/>
        </w:rPr>
        <w:t>您家庭的就业状况是：</w:t>
      </w:r>
    </w:p>
    <w:p>
      <w:pPr>
        <w:spacing w:line="240" w:lineRule="atLeast"/>
        <w:jc w:val="left"/>
        <w:rPr>
          <w:rFonts w:ascii="宋体" w:hAnsi="宋体"/>
          <w:sz w:val="24"/>
        </w:rPr>
      </w:pPr>
      <w:r>
        <w:rPr>
          <w:rFonts w:hint="eastAsia" w:ascii="宋体" w:hAnsi="宋体"/>
          <w:sz w:val="24"/>
        </w:rPr>
        <w:t>A. 您与配偶均有稳定收入的工作</w:t>
      </w:r>
    </w:p>
    <w:p>
      <w:pPr>
        <w:spacing w:line="240" w:lineRule="atLeast"/>
        <w:jc w:val="left"/>
        <w:rPr>
          <w:rFonts w:ascii="宋体" w:hAnsi="宋体"/>
          <w:sz w:val="24"/>
        </w:rPr>
      </w:pPr>
      <w:r>
        <w:rPr>
          <w:rFonts w:hint="eastAsia" w:ascii="宋体" w:hAnsi="宋体"/>
          <w:sz w:val="24"/>
        </w:rPr>
        <w:t>B. 您与配偶其中一人有稳定收入的工作</w:t>
      </w:r>
    </w:p>
    <w:p>
      <w:pPr>
        <w:spacing w:line="240" w:lineRule="atLeast"/>
        <w:jc w:val="left"/>
        <w:rPr>
          <w:rFonts w:ascii="宋体" w:hAnsi="宋体"/>
          <w:sz w:val="24"/>
        </w:rPr>
      </w:pPr>
      <w:r>
        <w:rPr>
          <w:rFonts w:hint="eastAsia" w:ascii="宋体" w:hAnsi="宋体"/>
          <w:sz w:val="24"/>
        </w:rPr>
        <w:t>C. 您与配偶均没有稳定收入的工作或者已退休</w:t>
      </w:r>
    </w:p>
    <w:p>
      <w:pPr>
        <w:spacing w:line="240" w:lineRule="atLeast"/>
        <w:jc w:val="left"/>
        <w:rPr>
          <w:rFonts w:ascii="宋体" w:hAnsi="宋体"/>
          <w:sz w:val="24"/>
        </w:rPr>
      </w:pPr>
      <w:r>
        <w:rPr>
          <w:rFonts w:hint="eastAsia" w:ascii="宋体" w:hAnsi="宋体"/>
          <w:sz w:val="24"/>
        </w:rPr>
        <w:t>D. 未婚，但有稳定收入的工作</w:t>
      </w:r>
    </w:p>
    <w:p>
      <w:pPr>
        <w:spacing w:line="240" w:lineRule="atLeast"/>
        <w:jc w:val="left"/>
        <w:rPr>
          <w:rFonts w:ascii="宋体" w:hAnsi="宋体"/>
          <w:sz w:val="24"/>
        </w:rPr>
      </w:pPr>
      <w:r>
        <w:rPr>
          <w:rFonts w:hint="eastAsia" w:ascii="宋体" w:hAnsi="宋体"/>
          <w:sz w:val="24"/>
        </w:rPr>
        <w:t>E. 未婚，目前暂无稳定收入的工作</w:t>
      </w:r>
    </w:p>
    <w:p>
      <w:pPr>
        <w:spacing w:line="240" w:lineRule="atLeast"/>
        <w:jc w:val="left"/>
        <w:rPr>
          <w:rFonts w:ascii="宋体" w:hAnsi="宋体"/>
          <w:sz w:val="24"/>
        </w:rPr>
      </w:pPr>
    </w:p>
    <w:p>
      <w:pPr>
        <w:spacing w:line="240" w:lineRule="atLeast"/>
        <w:rPr>
          <w:rFonts w:ascii="宋体" w:hAnsi="宋体"/>
          <w:b/>
          <w:sz w:val="24"/>
          <w:u w:val="single"/>
        </w:rPr>
      </w:pPr>
      <w:r>
        <w:rPr>
          <w:rFonts w:hint="eastAsia" w:ascii="宋体" w:hAnsi="宋体"/>
          <w:b/>
          <w:sz w:val="24"/>
          <w:u w:val="single"/>
        </w:rPr>
        <w:t>投资者签署确认</w:t>
      </w:r>
    </w:p>
    <w:p>
      <w:pPr>
        <w:spacing w:line="240" w:lineRule="atLeast"/>
        <w:ind w:firstLine="471" w:firstLineChars="196"/>
        <w:rPr>
          <w:rFonts w:ascii="宋体" w:hAnsi="宋体"/>
          <w:b/>
          <w:bCs/>
          <w:sz w:val="24"/>
        </w:rPr>
      </w:pPr>
      <w:r>
        <w:rPr>
          <w:rFonts w:hint="eastAsia" w:ascii="宋体" w:hAnsi="宋体"/>
          <w:b/>
          <w:bCs/>
          <w:sz w:val="24"/>
        </w:rPr>
        <w:t>本人已经了解并愿意遵守国家有关证券市场管理的法律、法规、规章及相关业务规则，本人在此郑重承诺以上填写的内容真实、准确、完整并对其负责。若本人提供的信息发生任何重大变化，本人将及时书面通知贵公司。</w:t>
      </w:r>
    </w:p>
    <w:p>
      <w:pPr>
        <w:spacing w:line="240" w:lineRule="atLeast"/>
        <w:rPr>
          <w:rFonts w:ascii="宋体" w:hAnsi="宋体"/>
          <w:b/>
          <w:bCs/>
          <w:sz w:val="24"/>
        </w:rPr>
      </w:pPr>
    </w:p>
    <w:p>
      <w:pPr>
        <w:spacing w:line="240" w:lineRule="atLeast"/>
        <w:rPr>
          <w:rFonts w:ascii="宋体" w:hAnsi="宋体"/>
          <w:b/>
          <w:bCs/>
          <w:sz w:val="24"/>
        </w:rPr>
      </w:pPr>
    </w:p>
    <w:p>
      <w:pPr>
        <w:spacing w:line="240" w:lineRule="atLeast"/>
        <w:rPr>
          <w:rFonts w:ascii="宋体" w:hAnsi="宋体"/>
          <w:b/>
          <w:bCs/>
          <w:sz w:val="24"/>
        </w:rPr>
      </w:pPr>
      <w:r>
        <w:rPr>
          <w:rFonts w:hint="eastAsia" w:ascii="宋体" w:hAnsi="宋体"/>
          <w:b/>
          <w:bCs/>
          <w:sz w:val="24"/>
        </w:rPr>
        <w:t xml:space="preserve">                                         投资者（签名）：</w:t>
      </w:r>
    </w:p>
    <w:p>
      <w:pPr>
        <w:spacing w:line="240" w:lineRule="atLeast"/>
        <w:rPr>
          <w:rFonts w:ascii="宋体" w:hAnsi="宋体"/>
          <w:sz w:val="24"/>
        </w:rPr>
      </w:pPr>
      <w:r>
        <w:rPr>
          <w:rFonts w:hint="eastAsia" w:ascii="宋体" w:hAnsi="宋体"/>
          <w:b/>
          <w:bCs/>
          <w:sz w:val="24"/>
        </w:rPr>
        <w:t xml:space="preserve">                                         签署日期： </w:t>
      </w:r>
    </w:p>
    <w:p>
      <w:pPr>
        <w:spacing w:line="240" w:lineRule="atLeast"/>
        <w:jc w:val="center"/>
        <w:rPr>
          <w:rFonts w:ascii="宋体" w:hAnsi="宋体"/>
          <w:sz w:val="24"/>
        </w:rPr>
      </w:pPr>
      <w:r>
        <w:rPr>
          <w:rFonts w:hint="eastAsia" w:ascii="宋体" w:hAnsi="宋体"/>
          <w:b/>
          <w:bCs/>
          <w:sz w:val="24"/>
        </w:rPr>
        <w:br w:type="page"/>
      </w:r>
      <w:r>
        <w:rPr>
          <w:rFonts w:hint="eastAsia" w:ascii="宋体" w:hAnsi="宋体"/>
          <w:b/>
          <w:bCs/>
          <w:sz w:val="24"/>
        </w:rPr>
        <w:t>投资者风险承受能力评估问卷（适用于机构投资者）</w:t>
      </w:r>
    </w:p>
    <w:p>
      <w:pPr>
        <w:spacing w:line="240" w:lineRule="atLeast"/>
        <w:jc w:val="left"/>
        <w:rPr>
          <w:rFonts w:ascii="宋体" w:hAnsi="宋体"/>
          <w:sz w:val="24"/>
          <w:u w:val="single"/>
        </w:rPr>
      </w:pPr>
      <w:r>
        <w:rPr>
          <w:rFonts w:hint="eastAsia" w:ascii="宋体" w:hAnsi="宋体"/>
          <w:sz w:val="24"/>
        </w:rPr>
        <w:t>投资者名称：</w:t>
      </w:r>
      <w:r>
        <w:rPr>
          <w:rFonts w:hint="eastAsia" w:ascii="宋体" w:hAnsi="宋体"/>
          <w:sz w:val="24"/>
          <w:u w:val="single"/>
        </w:rPr>
        <w:t xml:space="preserve">                  </w:t>
      </w:r>
    </w:p>
    <w:p>
      <w:pPr>
        <w:spacing w:line="240" w:lineRule="atLeast"/>
        <w:jc w:val="left"/>
        <w:rPr>
          <w:rFonts w:ascii="宋体" w:hAnsi="宋体"/>
          <w:sz w:val="24"/>
          <w:u w:val="single"/>
        </w:rPr>
      </w:pPr>
      <w:r>
        <w:rPr>
          <w:rFonts w:hint="eastAsia" w:ascii="宋体" w:hAnsi="宋体"/>
          <w:sz w:val="24"/>
        </w:rPr>
        <w:t>资金账号：</w:t>
      </w:r>
      <w:r>
        <w:rPr>
          <w:rFonts w:hint="eastAsia" w:ascii="宋体" w:hAnsi="宋体"/>
          <w:sz w:val="24"/>
          <w:u w:val="single"/>
        </w:rPr>
        <w:t xml:space="preserve">                  </w:t>
      </w:r>
    </w:p>
    <w:p>
      <w:pPr>
        <w:spacing w:line="240" w:lineRule="atLeast"/>
        <w:ind w:firstLine="480" w:firstLineChars="200"/>
        <w:jc w:val="left"/>
        <w:rPr>
          <w:rFonts w:ascii="宋体" w:hAnsi="宋体"/>
          <w:sz w:val="24"/>
        </w:rPr>
      </w:pPr>
    </w:p>
    <w:p>
      <w:pPr>
        <w:spacing w:line="240" w:lineRule="atLeast"/>
        <w:ind w:firstLine="480" w:firstLineChars="200"/>
        <w:jc w:val="left"/>
        <w:rPr>
          <w:rFonts w:ascii="宋体" w:hAnsi="宋体"/>
          <w:sz w:val="24"/>
          <w:lang w:val="en-GB"/>
        </w:rPr>
      </w:pPr>
      <w:r>
        <w:rPr>
          <w:rFonts w:hint="eastAsia" w:ascii="宋体" w:hAnsi="宋体"/>
          <w:sz w:val="24"/>
        </w:rPr>
        <w:t>本问卷旨在了解贵单位可承受的风险程度等情况，借此协助贵单位选择合适的产品</w:t>
      </w:r>
      <w:r>
        <w:rPr>
          <w:rFonts w:hint="eastAsia" w:ascii="宋体" w:hAnsi="宋体"/>
          <w:sz w:val="24"/>
          <w:lang w:val="en-GB"/>
        </w:rPr>
        <w:t>或服务类别，以符合贵单位的风险承受能力。</w:t>
      </w:r>
    </w:p>
    <w:p>
      <w:pPr>
        <w:spacing w:line="240" w:lineRule="atLeast"/>
        <w:ind w:firstLine="480" w:firstLineChars="200"/>
        <w:jc w:val="left"/>
        <w:rPr>
          <w:rFonts w:ascii="宋体" w:hAnsi="宋体"/>
          <w:sz w:val="24"/>
          <w:lang w:val="en-GB"/>
        </w:rPr>
      </w:pPr>
      <w:r>
        <w:rPr>
          <w:rFonts w:hint="eastAsia" w:ascii="宋体" w:hAnsi="宋体"/>
          <w:sz w:val="24"/>
          <w:lang w:val="en-GB"/>
        </w:rPr>
        <w:t>风险承受能力评估是本公司向投资者履行适当性义务的一个环节，其目的是使本公司所提供的产品或服务与贵单位的风险承受能力等级相匹配。</w:t>
      </w:r>
    </w:p>
    <w:p>
      <w:pPr>
        <w:spacing w:line="240" w:lineRule="atLeast"/>
        <w:ind w:firstLine="480" w:firstLineChars="200"/>
        <w:jc w:val="left"/>
        <w:rPr>
          <w:rFonts w:ascii="宋体" w:hAnsi="宋体"/>
          <w:sz w:val="24"/>
          <w:lang w:val="en-GB"/>
        </w:rPr>
      </w:pPr>
      <w:r>
        <w:rPr>
          <w:rFonts w:hint="eastAsia" w:ascii="宋体" w:hAnsi="宋体"/>
          <w:sz w:val="24"/>
          <w:lang w:val="en-GB"/>
        </w:rPr>
        <w:t>本公司特别提醒贵单位：本公司向投资者履行风险承受能力评估等适当性义务，并不能取代贵单位自己的投资判断，也不会降低产品或服务的固有风险。同时，与产品或服务相关的投资风险、履约责任以及费用等将由贵单位自行承担。</w:t>
      </w:r>
    </w:p>
    <w:p>
      <w:pPr>
        <w:spacing w:line="240" w:lineRule="atLeast"/>
        <w:ind w:firstLine="480" w:firstLineChars="200"/>
        <w:jc w:val="left"/>
        <w:rPr>
          <w:rFonts w:hint="eastAsia" w:ascii="宋体" w:hAnsi="宋体"/>
          <w:sz w:val="24"/>
        </w:rPr>
      </w:pPr>
      <w:r>
        <w:rPr>
          <w:rFonts w:hint="eastAsia" w:ascii="宋体" w:hAnsi="宋体"/>
          <w:sz w:val="24"/>
          <w:lang w:val="en-GB"/>
        </w:rPr>
        <w:t>本公司提示贵单位：本公司根据贵单位提供的信息对贵单位进行风险承受能力评估，履行</w:t>
      </w:r>
      <w:r>
        <w:rPr>
          <w:rFonts w:hint="eastAsia" w:ascii="宋体" w:hAnsi="宋体"/>
          <w:sz w:val="24"/>
        </w:rPr>
        <w:t>适当性义务。</w:t>
      </w:r>
    </w:p>
    <w:p>
      <w:pPr>
        <w:spacing w:line="240" w:lineRule="atLeast"/>
        <w:ind w:firstLine="480" w:firstLineChars="200"/>
        <w:jc w:val="left"/>
        <w:rPr>
          <w:rFonts w:ascii="宋体" w:hAnsi="宋体"/>
          <w:sz w:val="24"/>
        </w:rPr>
      </w:pPr>
      <w:r>
        <w:rPr>
          <w:rFonts w:hint="eastAsia" w:ascii="宋体" w:hAnsi="宋体"/>
          <w:sz w:val="24"/>
        </w:rPr>
        <w:t>本公司建议：当贵单位的各项状况发生重大变化时，需对贵单位所投资的产品及时进行重新审视，以确保贵单位的投资决定与贵单位可承受的投资风险程度等实际情况一致。</w:t>
      </w:r>
    </w:p>
    <w:p>
      <w:pPr>
        <w:spacing w:line="240" w:lineRule="atLeast"/>
        <w:ind w:firstLine="480" w:firstLineChars="200"/>
        <w:jc w:val="left"/>
        <w:rPr>
          <w:rFonts w:ascii="宋体" w:hAnsi="宋体"/>
          <w:sz w:val="24"/>
        </w:rPr>
      </w:pPr>
      <w:r>
        <w:rPr>
          <w:rFonts w:hint="eastAsia" w:ascii="宋体" w:hAnsi="宋体"/>
          <w:sz w:val="24"/>
        </w:rPr>
        <w:t>本公司在此承诺，对于贵单位在本问卷中所提供的一切信息，本公司将严格按照法律法规要求承担保密义务。除法律法规规定的有权机关依法定程序进行查询以外，本公司保证不会将涉及贵单位的任何信息提供、泄露给任何第三方，或者将相关信息用于违法、不当用途。</w:t>
      </w:r>
    </w:p>
    <w:p>
      <w:pPr>
        <w:spacing w:line="240" w:lineRule="atLeast"/>
        <w:jc w:val="left"/>
        <w:rPr>
          <w:rFonts w:ascii="宋体" w:hAnsi="宋体"/>
          <w:sz w:val="24"/>
        </w:rPr>
      </w:pPr>
    </w:p>
    <w:p>
      <w:pPr>
        <w:numPr>
          <w:ilvl w:val="0"/>
          <w:numId w:val="12"/>
        </w:numPr>
        <w:spacing w:line="240" w:lineRule="atLeast"/>
        <w:jc w:val="left"/>
        <w:rPr>
          <w:rFonts w:ascii="宋体" w:hAnsi="宋体"/>
          <w:b/>
          <w:bCs/>
          <w:sz w:val="24"/>
        </w:rPr>
      </w:pPr>
      <w:r>
        <w:rPr>
          <w:rFonts w:hint="eastAsia" w:ascii="宋体" w:hAnsi="宋体"/>
          <w:b/>
          <w:bCs/>
          <w:sz w:val="24"/>
        </w:rPr>
        <w:t>贵单位的性质：</w:t>
      </w:r>
    </w:p>
    <w:p>
      <w:pPr>
        <w:numPr>
          <w:ilvl w:val="0"/>
          <w:numId w:val="13"/>
        </w:numPr>
        <w:spacing w:line="240" w:lineRule="atLeast"/>
        <w:jc w:val="left"/>
        <w:rPr>
          <w:rFonts w:ascii="宋体" w:hAnsi="宋体"/>
          <w:sz w:val="24"/>
        </w:rPr>
      </w:pPr>
      <w:r>
        <w:rPr>
          <w:rFonts w:hint="eastAsia" w:ascii="宋体" w:hAnsi="宋体"/>
          <w:sz w:val="24"/>
        </w:rPr>
        <w:t>国有企事业单位</w:t>
      </w:r>
    </w:p>
    <w:p>
      <w:pPr>
        <w:numPr>
          <w:ilvl w:val="0"/>
          <w:numId w:val="13"/>
        </w:numPr>
        <w:spacing w:line="240" w:lineRule="atLeast"/>
        <w:jc w:val="left"/>
        <w:rPr>
          <w:rFonts w:ascii="宋体" w:hAnsi="宋体"/>
          <w:sz w:val="24"/>
        </w:rPr>
      </w:pPr>
      <w:r>
        <w:rPr>
          <w:rFonts w:hint="eastAsia" w:ascii="宋体" w:hAnsi="宋体"/>
          <w:sz w:val="24"/>
        </w:rPr>
        <w:t>非上市民营企业</w:t>
      </w:r>
    </w:p>
    <w:p>
      <w:pPr>
        <w:numPr>
          <w:ilvl w:val="0"/>
          <w:numId w:val="13"/>
        </w:numPr>
        <w:spacing w:line="240" w:lineRule="atLeast"/>
        <w:jc w:val="left"/>
        <w:rPr>
          <w:rFonts w:ascii="宋体" w:hAnsi="宋体"/>
          <w:sz w:val="24"/>
        </w:rPr>
      </w:pPr>
      <w:r>
        <w:rPr>
          <w:rFonts w:hint="eastAsia" w:ascii="宋体" w:hAnsi="宋体"/>
          <w:sz w:val="24"/>
        </w:rPr>
        <w:t>外资企业</w:t>
      </w:r>
    </w:p>
    <w:p>
      <w:pPr>
        <w:numPr>
          <w:ilvl w:val="0"/>
          <w:numId w:val="13"/>
        </w:numPr>
        <w:spacing w:line="240" w:lineRule="atLeast"/>
        <w:jc w:val="left"/>
        <w:rPr>
          <w:rFonts w:ascii="宋体" w:hAnsi="宋体"/>
          <w:sz w:val="24"/>
        </w:rPr>
      </w:pPr>
      <w:r>
        <w:rPr>
          <w:rFonts w:hint="eastAsia" w:ascii="宋体" w:hAnsi="宋体"/>
          <w:sz w:val="24"/>
        </w:rPr>
        <w:t>上市公司</w:t>
      </w:r>
    </w:p>
    <w:p>
      <w:pPr>
        <w:numPr>
          <w:ilvl w:val="0"/>
          <w:numId w:val="14"/>
        </w:numPr>
        <w:spacing w:line="240" w:lineRule="atLeast"/>
        <w:jc w:val="left"/>
        <w:rPr>
          <w:rFonts w:ascii="宋体" w:hAnsi="宋体"/>
          <w:b/>
          <w:bCs/>
          <w:sz w:val="24"/>
        </w:rPr>
      </w:pPr>
      <w:r>
        <w:rPr>
          <w:rFonts w:hint="eastAsia" w:ascii="宋体" w:hAnsi="宋体"/>
          <w:b/>
          <w:bCs/>
          <w:sz w:val="24"/>
        </w:rPr>
        <w:t>贵单位的净资产规模为：</w:t>
      </w:r>
    </w:p>
    <w:p>
      <w:pPr>
        <w:spacing w:line="240" w:lineRule="atLeast"/>
        <w:jc w:val="left"/>
        <w:rPr>
          <w:rFonts w:ascii="宋体" w:hAnsi="宋体"/>
          <w:sz w:val="24"/>
        </w:rPr>
      </w:pPr>
      <w:r>
        <w:rPr>
          <w:rFonts w:hint="eastAsia" w:ascii="宋体" w:hAnsi="宋体"/>
          <w:sz w:val="24"/>
        </w:rPr>
        <w:t>A. 500万元以下</w:t>
      </w:r>
    </w:p>
    <w:p>
      <w:pPr>
        <w:spacing w:line="240" w:lineRule="atLeast"/>
        <w:jc w:val="left"/>
        <w:rPr>
          <w:rFonts w:ascii="宋体" w:hAnsi="宋体"/>
          <w:sz w:val="24"/>
        </w:rPr>
      </w:pPr>
      <w:r>
        <w:rPr>
          <w:rFonts w:hint="eastAsia" w:ascii="宋体" w:hAnsi="宋体"/>
          <w:sz w:val="24"/>
        </w:rPr>
        <w:t>B. 500万元-2000万元</w:t>
      </w:r>
    </w:p>
    <w:p>
      <w:pPr>
        <w:spacing w:line="240" w:lineRule="atLeast"/>
        <w:jc w:val="left"/>
        <w:rPr>
          <w:rFonts w:ascii="宋体" w:hAnsi="宋体"/>
          <w:sz w:val="24"/>
        </w:rPr>
      </w:pPr>
      <w:r>
        <w:rPr>
          <w:rFonts w:hint="eastAsia" w:ascii="宋体" w:hAnsi="宋体"/>
          <w:sz w:val="24"/>
        </w:rPr>
        <w:t>C. 2000万元-1亿元</w:t>
      </w:r>
    </w:p>
    <w:p>
      <w:pPr>
        <w:spacing w:line="240" w:lineRule="atLeast"/>
        <w:jc w:val="left"/>
        <w:rPr>
          <w:rFonts w:ascii="宋体" w:hAnsi="宋体"/>
          <w:sz w:val="24"/>
        </w:rPr>
      </w:pPr>
      <w:r>
        <w:rPr>
          <w:rFonts w:hint="eastAsia" w:ascii="宋体" w:hAnsi="宋体"/>
          <w:sz w:val="24"/>
        </w:rPr>
        <w:t>D. 超过1亿元</w:t>
      </w:r>
    </w:p>
    <w:p>
      <w:pPr>
        <w:numPr>
          <w:ilvl w:val="0"/>
          <w:numId w:val="14"/>
        </w:numPr>
        <w:spacing w:line="240" w:lineRule="atLeast"/>
        <w:jc w:val="left"/>
        <w:rPr>
          <w:rFonts w:ascii="宋体" w:hAnsi="宋体"/>
          <w:b/>
          <w:bCs/>
          <w:sz w:val="24"/>
        </w:rPr>
      </w:pPr>
      <w:r>
        <w:rPr>
          <w:rFonts w:hint="eastAsia" w:ascii="宋体" w:hAnsi="宋体"/>
          <w:b/>
          <w:bCs/>
          <w:sz w:val="24"/>
        </w:rPr>
        <w:t>贵单位年营业收入为：</w:t>
      </w:r>
    </w:p>
    <w:p>
      <w:pPr>
        <w:spacing w:line="240" w:lineRule="atLeast"/>
        <w:jc w:val="left"/>
        <w:rPr>
          <w:rFonts w:ascii="宋体" w:hAnsi="宋体"/>
          <w:sz w:val="24"/>
        </w:rPr>
      </w:pPr>
      <w:r>
        <w:rPr>
          <w:rFonts w:hint="eastAsia" w:ascii="宋体" w:hAnsi="宋体"/>
          <w:sz w:val="24"/>
        </w:rPr>
        <w:t>A. 500万元以下</w:t>
      </w:r>
    </w:p>
    <w:p>
      <w:pPr>
        <w:spacing w:line="240" w:lineRule="atLeast"/>
        <w:jc w:val="left"/>
        <w:rPr>
          <w:rFonts w:ascii="宋体" w:hAnsi="宋体"/>
          <w:sz w:val="24"/>
        </w:rPr>
      </w:pPr>
      <w:r>
        <w:rPr>
          <w:rFonts w:hint="eastAsia" w:ascii="宋体" w:hAnsi="宋体"/>
          <w:sz w:val="24"/>
        </w:rPr>
        <w:t>B. 500万元-2000万元</w:t>
      </w:r>
    </w:p>
    <w:p>
      <w:pPr>
        <w:spacing w:line="240" w:lineRule="atLeast"/>
        <w:jc w:val="left"/>
        <w:rPr>
          <w:rFonts w:ascii="宋体" w:hAnsi="宋体"/>
          <w:sz w:val="24"/>
        </w:rPr>
      </w:pPr>
      <w:r>
        <w:rPr>
          <w:rFonts w:hint="eastAsia" w:ascii="宋体" w:hAnsi="宋体"/>
          <w:sz w:val="24"/>
        </w:rPr>
        <w:t>C. 2000万元-1亿元</w:t>
      </w:r>
    </w:p>
    <w:p>
      <w:pPr>
        <w:spacing w:line="240" w:lineRule="atLeast"/>
        <w:jc w:val="left"/>
        <w:rPr>
          <w:rFonts w:ascii="宋体" w:hAnsi="宋体"/>
          <w:sz w:val="24"/>
        </w:rPr>
      </w:pPr>
      <w:r>
        <w:rPr>
          <w:rFonts w:hint="eastAsia" w:ascii="宋体" w:hAnsi="宋体"/>
          <w:sz w:val="24"/>
        </w:rPr>
        <w:t>D. 超过1亿元</w:t>
      </w:r>
    </w:p>
    <w:p>
      <w:pPr>
        <w:numPr>
          <w:ilvl w:val="0"/>
          <w:numId w:val="14"/>
        </w:numPr>
        <w:spacing w:line="240" w:lineRule="atLeast"/>
        <w:jc w:val="left"/>
        <w:rPr>
          <w:rFonts w:ascii="宋体" w:hAnsi="宋体"/>
          <w:b/>
          <w:bCs/>
          <w:sz w:val="24"/>
        </w:rPr>
      </w:pPr>
      <w:r>
        <w:rPr>
          <w:rFonts w:hint="eastAsia" w:ascii="宋体" w:hAnsi="宋体"/>
          <w:b/>
          <w:bCs/>
          <w:sz w:val="24"/>
        </w:rPr>
        <w:t>贵单位证券账户资产为：</w:t>
      </w:r>
    </w:p>
    <w:p>
      <w:pPr>
        <w:spacing w:line="240" w:lineRule="atLeast"/>
        <w:jc w:val="left"/>
        <w:rPr>
          <w:rFonts w:ascii="宋体" w:hAnsi="宋体"/>
          <w:sz w:val="24"/>
        </w:rPr>
      </w:pPr>
      <w:r>
        <w:rPr>
          <w:rFonts w:hint="eastAsia" w:ascii="宋体" w:hAnsi="宋体"/>
          <w:sz w:val="24"/>
        </w:rPr>
        <w:t>A. 300万元以内</w:t>
      </w:r>
    </w:p>
    <w:p>
      <w:pPr>
        <w:spacing w:line="240" w:lineRule="atLeast"/>
        <w:jc w:val="left"/>
        <w:rPr>
          <w:rFonts w:ascii="宋体" w:hAnsi="宋体"/>
          <w:sz w:val="24"/>
        </w:rPr>
      </w:pPr>
      <w:r>
        <w:rPr>
          <w:rFonts w:hint="eastAsia" w:ascii="宋体" w:hAnsi="宋体"/>
          <w:sz w:val="24"/>
        </w:rPr>
        <w:t>B. 300万元-1000万元</w:t>
      </w:r>
    </w:p>
    <w:p>
      <w:pPr>
        <w:spacing w:line="240" w:lineRule="atLeast"/>
        <w:jc w:val="left"/>
        <w:rPr>
          <w:rFonts w:ascii="宋体" w:hAnsi="宋体"/>
          <w:sz w:val="24"/>
        </w:rPr>
      </w:pPr>
      <w:r>
        <w:rPr>
          <w:rFonts w:hint="eastAsia" w:ascii="宋体" w:hAnsi="宋体"/>
          <w:sz w:val="24"/>
        </w:rPr>
        <w:t>C. 1000万元-3000万元</w:t>
      </w:r>
    </w:p>
    <w:p>
      <w:pPr>
        <w:spacing w:line="240" w:lineRule="atLeast"/>
        <w:jc w:val="left"/>
        <w:rPr>
          <w:rFonts w:ascii="宋体" w:hAnsi="宋体"/>
          <w:sz w:val="24"/>
        </w:rPr>
      </w:pPr>
      <w:r>
        <w:rPr>
          <w:rFonts w:hint="eastAsia" w:ascii="宋体" w:hAnsi="宋体"/>
          <w:sz w:val="24"/>
        </w:rPr>
        <w:t>D. 超过3000万元</w:t>
      </w:r>
    </w:p>
    <w:p>
      <w:pPr>
        <w:numPr>
          <w:ilvl w:val="0"/>
          <w:numId w:val="14"/>
        </w:numPr>
        <w:spacing w:line="240" w:lineRule="atLeast"/>
        <w:jc w:val="left"/>
        <w:rPr>
          <w:rFonts w:ascii="宋体" w:hAnsi="宋体"/>
          <w:b/>
          <w:bCs/>
          <w:sz w:val="24"/>
        </w:rPr>
      </w:pPr>
      <w:r>
        <w:rPr>
          <w:rFonts w:hint="eastAsia" w:ascii="宋体" w:hAnsi="宋体"/>
          <w:b/>
          <w:bCs/>
          <w:sz w:val="24"/>
        </w:rPr>
        <w:t>贵单位是否有尚未清偿的数额较大的债务？如有，主要是：</w:t>
      </w:r>
    </w:p>
    <w:p>
      <w:pPr>
        <w:spacing w:line="240" w:lineRule="atLeast"/>
        <w:jc w:val="left"/>
        <w:rPr>
          <w:rFonts w:ascii="宋体" w:hAnsi="宋体"/>
          <w:sz w:val="24"/>
        </w:rPr>
      </w:pPr>
      <w:r>
        <w:rPr>
          <w:rFonts w:hint="eastAsia" w:ascii="宋体" w:hAnsi="宋体"/>
          <w:sz w:val="24"/>
        </w:rPr>
        <w:t>A. 银行贷款</w:t>
      </w:r>
    </w:p>
    <w:p>
      <w:pPr>
        <w:spacing w:line="240" w:lineRule="atLeast"/>
        <w:jc w:val="left"/>
        <w:rPr>
          <w:rFonts w:ascii="宋体" w:hAnsi="宋体"/>
          <w:sz w:val="24"/>
        </w:rPr>
      </w:pPr>
      <w:r>
        <w:rPr>
          <w:rFonts w:hint="eastAsia" w:ascii="宋体" w:hAnsi="宋体"/>
          <w:sz w:val="24"/>
        </w:rPr>
        <w:t>B. 公司债券或企业债券</w:t>
      </w:r>
    </w:p>
    <w:p>
      <w:pPr>
        <w:spacing w:line="240" w:lineRule="atLeast"/>
        <w:jc w:val="left"/>
        <w:rPr>
          <w:rFonts w:ascii="宋体" w:hAnsi="宋体"/>
          <w:sz w:val="24"/>
        </w:rPr>
      </w:pPr>
      <w:r>
        <w:rPr>
          <w:rFonts w:hint="eastAsia" w:ascii="宋体" w:hAnsi="宋体"/>
          <w:sz w:val="24"/>
        </w:rPr>
        <w:t>C. 通过担保公司等中介机构募集的借款</w:t>
      </w:r>
    </w:p>
    <w:p>
      <w:pPr>
        <w:spacing w:line="240" w:lineRule="atLeast"/>
        <w:jc w:val="left"/>
        <w:rPr>
          <w:rFonts w:ascii="宋体" w:hAnsi="宋体"/>
          <w:sz w:val="24"/>
        </w:rPr>
      </w:pPr>
      <w:r>
        <w:rPr>
          <w:rFonts w:hint="eastAsia" w:ascii="宋体" w:hAnsi="宋体"/>
          <w:sz w:val="24"/>
        </w:rPr>
        <w:t>D. 民间借贷</w:t>
      </w:r>
    </w:p>
    <w:p>
      <w:pPr>
        <w:spacing w:line="240" w:lineRule="atLeast"/>
        <w:jc w:val="left"/>
        <w:rPr>
          <w:rFonts w:ascii="宋体" w:hAnsi="宋体"/>
          <w:sz w:val="24"/>
        </w:rPr>
      </w:pPr>
      <w:r>
        <w:rPr>
          <w:rFonts w:hint="eastAsia" w:ascii="宋体" w:hAnsi="宋体"/>
          <w:sz w:val="24"/>
        </w:rPr>
        <w:t>E. 没有数额较大的债务</w:t>
      </w:r>
    </w:p>
    <w:p>
      <w:pPr>
        <w:numPr>
          <w:ilvl w:val="0"/>
          <w:numId w:val="14"/>
        </w:numPr>
        <w:spacing w:line="240" w:lineRule="atLeast"/>
        <w:jc w:val="left"/>
        <w:rPr>
          <w:rFonts w:ascii="宋体" w:hAnsi="宋体"/>
          <w:b/>
          <w:bCs/>
          <w:sz w:val="24"/>
        </w:rPr>
      </w:pPr>
      <w:r>
        <w:rPr>
          <w:rFonts w:hint="eastAsia" w:ascii="宋体" w:hAnsi="宋体"/>
          <w:b/>
          <w:bCs/>
          <w:sz w:val="24"/>
        </w:rPr>
        <w:t>对于金融产品投资工作，贵单位打算配置怎样的人员力量：</w:t>
      </w:r>
    </w:p>
    <w:p>
      <w:pPr>
        <w:numPr>
          <w:ilvl w:val="0"/>
          <w:numId w:val="15"/>
        </w:numPr>
        <w:spacing w:line="240" w:lineRule="atLeast"/>
        <w:jc w:val="left"/>
        <w:rPr>
          <w:rFonts w:ascii="宋体" w:hAnsi="宋体"/>
          <w:sz w:val="24"/>
        </w:rPr>
      </w:pPr>
      <w:r>
        <w:rPr>
          <w:rFonts w:hint="eastAsia" w:ascii="宋体" w:hAnsi="宋体"/>
          <w:sz w:val="24"/>
        </w:rPr>
        <w:t>一名兼职人员（包括负责人自行决策）</w:t>
      </w:r>
    </w:p>
    <w:p>
      <w:pPr>
        <w:numPr>
          <w:ilvl w:val="0"/>
          <w:numId w:val="15"/>
        </w:numPr>
        <w:spacing w:line="240" w:lineRule="atLeast"/>
        <w:jc w:val="left"/>
        <w:rPr>
          <w:rFonts w:ascii="宋体" w:hAnsi="宋体"/>
          <w:sz w:val="24"/>
        </w:rPr>
      </w:pPr>
      <w:r>
        <w:rPr>
          <w:rFonts w:hint="eastAsia" w:ascii="宋体" w:hAnsi="宋体"/>
          <w:sz w:val="24"/>
        </w:rPr>
        <w:t>一名专职人员</w:t>
      </w:r>
    </w:p>
    <w:p>
      <w:pPr>
        <w:numPr>
          <w:ilvl w:val="0"/>
          <w:numId w:val="15"/>
        </w:numPr>
        <w:spacing w:line="240" w:lineRule="atLeast"/>
        <w:jc w:val="left"/>
        <w:rPr>
          <w:rFonts w:ascii="宋体" w:hAnsi="宋体"/>
          <w:sz w:val="24"/>
        </w:rPr>
      </w:pPr>
      <w:r>
        <w:rPr>
          <w:rFonts w:hint="eastAsia" w:ascii="宋体" w:hAnsi="宋体"/>
          <w:sz w:val="24"/>
        </w:rPr>
        <w:t>多名兼职或专职人员，相互之间分工不明确</w:t>
      </w:r>
    </w:p>
    <w:p>
      <w:pPr>
        <w:numPr>
          <w:ilvl w:val="0"/>
          <w:numId w:val="15"/>
        </w:numPr>
        <w:spacing w:line="240" w:lineRule="atLeast"/>
        <w:jc w:val="left"/>
        <w:rPr>
          <w:rFonts w:ascii="宋体" w:hAnsi="宋体"/>
          <w:sz w:val="24"/>
        </w:rPr>
      </w:pPr>
      <w:r>
        <w:rPr>
          <w:rFonts w:hint="eastAsia" w:ascii="宋体" w:hAnsi="宋体"/>
          <w:sz w:val="24"/>
        </w:rPr>
        <w:t>多名兼职或专职人员，相互之间有明确分工</w:t>
      </w:r>
    </w:p>
    <w:p>
      <w:pPr>
        <w:numPr>
          <w:ilvl w:val="0"/>
          <w:numId w:val="14"/>
        </w:numPr>
        <w:spacing w:line="240" w:lineRule="atLeast"/>
        <w:jc w:val="left"/>
        <w:rPr>
          <w:rFonts w:ascii="宋体" w:hAnsi="宋体"/>
          <w:b/>
          <w:bCs/>
          <w:sz w:val="24"/>
        </w:rPr>
      </w:pPr>
      <w:r>
        <w:rPr>
          <w:rFonts w:hint="eastAsia" w:ascii="宋体" w:hAnsi="宋体"/>
          <w:b/>
          <w:bCs/>
          <w:sz w:val="24"/>
        </w:rPr>
        <w:t>贵单位所配置的负责金融产品投资工作的人员是否符合以下情况：</w:t>
      </w:r>
    </w:p>
    <w:p>
      <w:pPr>
        <w:numPr>
          <w:ilvl w:val="0"/>
          <w:numId w:val="16"/>
        </w:numPr>
        <w:spacing w:line="240" w:lineRule="atLeast"/>
        <w:jc w:val="left"/>
        <w:rPr>
          <w:rFonts w:ascii="宋体" w:hAnsi="宋体"/>
          <w:sz w:val="24"/>
        </w:rPr>
      </w:pPr>
      <w:r>
        <w:rPr>
          <w:rFonts w:hint="eastAsia" w:ascii="宋体" w:hAnsi="宋体"/>
          <w:sz w:val="24"/>
        </w:rPr>
        <w:t>现在或此前曾从事金融、经济或财会等与金融产品投资相关的工作超过两年</w:t>
      </w:r>
    </w:p>
    <w:p>
      <w:pPr>
        <w:numPr>
          <w:ilvl w:val="0"/>
          <w:numId w:val="16"/>
        </w:numPr>
        <w:spacing w:line="240" w:lineRule="atLeast"/>
        <w:jc w:val="left"/>
        <w:rPr>
          <w:rFonts w:ascii="宋体" w:hAnsi="宋体"/>
          <w:sz w:val="24"/>
        </w:rPr>
      </w:pPr>
      <w:r>
        <w:rPr>
          <w:rFonts w:hint="eastAsia" w:ascii="宋体" w:hAnsi="宋体"/>
          <w:sz w:val="24"/>
        </w:rPr>
        <w:t>已取得金融、经济或财会等与金融产品投资相关专业学士以上学位</w:t>
      </w:r>
    </w:p>
    <w:p>
      <w:pPr>
        <w:numPr>
          <w:ilvl w:val="0"/>
          <w:numId w:val="16"/>
        </w:numPr>
        <w:spacing w:line="240" w:lineRule="atLeast"/>
        <w:jc w:val="left"/>
        <w:rPr>
          <w:rFonts w:ascii="宋体" w:hAnsi="宋体"/>
          <w:sz w:val="24"/>
        </w:rPr>
      </w:pPr>
      <w:r>
        <w:rPr>
          <w:rFonts w:hint="eastAsia" w:ascii="宋体" w:hAnsi="宋体"/>
          <w:sz w:val="24"/>
        </w:rPr>
        <w:t>取得证券从业资格、期货从业资格、注册会计师证书（CPA）或注册金融分析师证书（CFA）中的一项及以上</w:t>
      </w:r>
    </w:p>
    <w:p>
      <w:pPr>
        <w:numPr>
          <w:ilvl w:val="0"/>
          <w:numId w:val="16"/>
        </w:numPr>
        <w:spacing w:line="240" w:lineRule="atLeast"/>
        <w:jc w:val="left"/>
        <w:rPr>
          <w:rFonts w:ascii="宋体" w:hAnsi="宋体"/>
          <w:sz w:val="24"/>
        </w:rPr>
      </w:pPr>
      <w:r>
        <w:rPr>
          <w:rFonts w:hint="eastAsia" w:ascii="宋体" w:hAnsi="宋体"/>
          <w:sz w:val="24"/>
        </w:rPr>
        <w:t>本单位所配置的人员不符合以上任何一项描述</w:t>
      </w:r>
    </w:p>
    <w:p>
      <w:pPr>
        <w:numPr>
          <w:ilvl w:val="0"/>
          <w:numId w:val="14"/>
        </w:numPr>
        <w:spacing w:line="240" w:lineRule="atLeast"/>
        <w:jc w:val="left"/>
        <w:rPr>
          <w:rFonts w:ascii="宋体" w:hAnsi="宋体"/>
          <w:b/>
          <w:bCs/>
          <w:sz w:val="24"/>
        </w:rPr>
      </w:pPr>
      <w:r>
        <w:rPr>
          <w:rFonts w:hint="eastAsia" w:ascii="宋体" w:hAnsi="宋体"/>
          <w:b/>
          <w:bCs/>
          <w:sz w:val="24"/>
        </w:rPr>
        <w:t>贵单位是否建立了金融产品投资相关的管理制度：</w:t>
      </w:r>
    </w:p>
    <w:p>
      <w:pPr>
        <w:numPr>
          <w:ilvl w:val="0"/>
          <w:numId w:val="17"/>
        </w:numPr>
        <w:spacing w:line="240" w:lineRule="atLeast"/>
        <w:jc w:val="left"/>
        <w:rPr>
          <w:rFonts w:ascii="宋体" w:hAnsi="宋体"/>
          <w:sz w:val="24"/>
        </w:rPr>
      </w:pPr>
      <w:r>
        <w:rPr>
          <w:rFonts w:hint="eastAsia" w:ascii="宋体" w:hAnsi="宋体"/>
          <w:sz w:val="24"/>
        </w:rPr>
        <w:t>没有。因为要保证操作的灵活性</w:t>
      </w:r>
    </w:p>
    <w:p>
      <w:pPr>
        <w:numPr>
          <w:ilvl w:val="0"/>
          <w:numId w:val="17"/>
        </w:numPr>
        <w:spacing w:line="240" w:lineRule="atLeast"/>
        <w:jc w:val="left"/>
        <w:rPr>
          <w:rFonts w:ascii="宋体" w:hAnsi="宋体"/>
          <w:sz w:val="24"/>
        </w:rPr>
      </w:pPr>
      <w:r>
        <w:rPr>
          <w:rFonts w:hint="eastAsia" w:ascii="宋体" w:hAnsi="宋体"/>
          <w:sz w:val="24"/>
        </w:rPr>
        <w:t>已建立。包括了分工和授权的要求，但未包括投资风险控制的规则</w:t>
      </w:r>
    </w:p>
    <w:p>
      <w:pPr>
        <w:numPr>
          <w:ilvl w:val="0"/>
          <w:numId w:val="17"/>
        </w:numPr>
        <w:spacing w:line="240" w:lineRule="atLeast"/>
        <w:jc w:val="left"/>
        <w:rPr>
          <w:rFonts w:ascii="宋体" w:hAnsi="宋体"/>
          <w:sz w:val="24"/>
        </w:rPr>
      </w:pPr>
      <w:r>
        <w:rPr>
          <w:rFonts w:hint="eastAsia" w:ascii="宋体" w:hAnsi="宋体"/>
          <w:sz w:val="24"/>
        </w:rPr>
        <w:t>已建立。包括了分工与授权、风险控制等一系列与金融产品投资有关的规则</w:t>
      </w:r>
    </w:p>
    <w:p>
      <w:pPr>
        <w:numPr>
          <w:ilvl w:val="0"/>
          <w:numId w:val="14"/>
        </w:numPr>
        <w:spacing w:line="240" w:lineRule="atLeast"/>
        <w:jc w:val="left"/>
        <w:rPr>
          <w:rFonts w:ascii="宋体" w:hAnsi="宋体"/>
          <w:b/>
          <w:bCs/>
          <w:sz w:val="24"/>
        </w:rPr>
      </w:pPr>
      <w:r>
        <w:rPr>
          <w:rFonts w:hint="eastAsia" w:ascii="宋体" w:hAnsi="宋体"/>
          <w:b/>
          <w:bCs/>
          <w:sz w:val="24"/>
        </w:rPr>
        <w:t>贵单位的投资经验可以被概括为：</w:t>
      </w:r>
    </w:p>
    <w:p>
      <w:pPr>
        <w:spacing w:line="240" w:lineRule="atLeast"/>
        <w:jc w:val="left"/>
        <w:rPr>
          <w:rFonts w:ascii="宋体" w:hAnsi="宋体"/>
          <w:sz w:val="24"/>
        </w:rPr>
      </w:pPr>
      <w:r>
        <w:rPr>
          <w:rFonts w:hint="eastAsia" w:ascii="宋体" w:hAnsi="宋体"/>
          <w:sz w:val="24"/>
        </w:rPr>
        <w:t>A．有限：除银行活期账户和定期存款外，基本没有其他投资经验</w:t>
      </w:r>
    </w:p>
    <w:p>
      <w:pPr>
        <w:spacing w:line="240" w:lineRule="atLeast"/>
        <w:jc w:val="left"/>
        <w:rPr>
          <w:rFonts w:ascii="宋体" w:hAnsi="宋体"/>
          <w:sz w:val="24"/>
        </w:rPr>
      </w:pPr>
      <w:r>
        <w:rPr>
          <w:rFonts w:hint="eastAsia" w:ascii="宋体" w:hAnsi="宋体"/>
          <w:sz w:val="24"/>
        </w:rPr>
        <w:t>B．一般：除银行活期账户和定期存款外，购买过基金、保险等理财产品，但还需要进一步的指导</w:t>
      </w:r>
    </w:p>
    <w:p>
      <w:pPr>
        <w:spacing w:line="240" w:lineRule="atLeast"/>
        <w:jc w:val="left"/>
        <w:rPr>
          <w:rFonts w:ascii="宋体" w:hAnsi="宋体"/>
          <w:sz w:val="24"/>
        </w:rPr>
      </w:pPr>
      <w:r>
        <w:rPr>
          <w:rFonts w:hint="eastAsia" w:ascii="宋体" w:hAnsi="宋体"/>
          <w:sz w:val="24"/>
        </w:rPr>
        <w:t>C．丰富：本单位具有相当投资经验，参与过股票、基金等产品的交易，并倾向于自己做出投资决策</w:t>
      </w:r>
    </w:p>
    <w:p>
      <w:pPr>
        <w:spacing w:line="240" w:lineRule="atLeast"/>
        <w:jc w:val="left"/>
        <w:rPr>
          <w:rFonts w:ascii="宋体" w:hAnsi="宋体"/>
          <w:sz w:val="24"/>
        </w:rPr>
      </w:pPr>
      <w:r>
        <w:rPr>
          <w:rFonts w:hint="eastAsia" w:ascii="宋体" w:hAnsi="宋体"/>
          <w:sz w:val="24"/>
        </w:rPr>
        <w:t>D．非常丰富：本单位对于投资非常有经验，参与过权证、期货或创业板等产品的交易</w:t>
      </w:r>
    </w:p>
    <w:p>
      <w:pPr>
        <w:numPr>
          <w:ilvl w:val="0"/>
          <w:numId w:val="14"/>
        </w:numPr>
        <w:spacing w:line="240" w:lineRule="atLeast"/>
        <w:jc w:val="left"/>
        <w:rPr>
          <w:rFonts w:ascii="宋体" w:hAnsi="宋体"/>
          <w:b/>
          <w:bCs/>
          <w:sz w:val="24"/>
        </w:rPr>
      </w:pPr>
      <w:r>
        <w:rPr>
          <w:rFonts w:hint="eastAsia" w:ascii="宋体" w:hAnsi="宋体"/>
          <w:b/>
          <w:bCs/>
          <w:sz w:val="24"/>
        </w:rPr>
        <w:t>有一位投资者一个月内做了15笔交易（同一品种买卖各一次算一笔），贵单位认为这样的交易频率：</w:t>
      </w:r>
    </w:p>
    <w:p>
      <w:pPr>
        <w:spacing w:line="240" w:lineRule="atLeast"/>
        <w:jc w:val="left"/>
        <w:rPr>
          <w:rFonts w:ascii="宋体" w:hAnsi="宋体"/>
          <w:sz w:val="24"/>
        </w:rPr>
      </w:pPr>
      <w:r>
        <w:rPr>
          <w:rFonts w:hint="eastAsia" w:ascii="宋体" w:hAnsi="宋体"/>
          <w:sz w:val="24"/>
        </w:rPr>
        <w:t>A. 太高了</w:t>
      </w:r>
    </w:p>
    <w:p>
      <w:pPr>
        <w:spacing w:line="240" w:lineRule="atLeast"/>
        <w:jc w:val="left"/>
        <w:rPr>
          <w:rFonts w:ascii="宋体" w:hAnsi="宋体"/>
          <w:sz w:val="24"/>
        </w:rPr>
      </w:pPr>
      <w:r>
        <w:rPr>
          <w:rFonts w:hint="eastAsia" w:ascii="宋体" w:hAnsi="宋体"/>
          <w:sz w:val="24"/>
        </w:rPr>
        <w:t>B. 偏高</w:t>
      </w:r>
    </w:p>
    <w:p>
      <w:pPr>
        <w:spacing w:line="240" w:lineRule="atLeast"/>
        <w:jc w:val="left"/>
        <w:rPr>
          <w:rFonts w:ascii="宋体" w:hAnsi="宋体"/>
          <w:sz w:val="24"/>
        </w:rPr>
      </w:pPr>
      <w:r>
        <w:rPr>
          <w:rFonts w:hint="eastAsia" w:ascii="宋体" w:hAnsi="宋体"/>
          <w:sz w:val="24"/>
        </w:rPr>
        <w:t>C. 正常</w:t>
      </w:r>
    </w:p>
    <w:p>
      <w:pPr>
        <w:spacing w:line="240" w:lineRule="atLeast"/>
        <w:jc w:val="left"/>
        <w:rPr>
          <w:rFonts w:ascii="宋体" w:hAnsi="宋体"/>
          <w:sz w:val="24"/>
        </w:rPr>
      </w:pPr>
      <w:r>
        <w:rPr>
          <w:rFonts w:hint="eastAsia" w:ascii="宋体" w:hAnsi="宋体"/>
          <w:sz w:val="24"/>
        </w:rPr>
        <w:t>D. 偏低</w:t>
      </w:r>
    </w:p>
    <w:p>
      <w:pPr>
        <w:numPr>
          <w:ilvl w:val="0"/>
          <w:numId w:val="14"/>
        </w:numPr>
        <w:spacing w:line="240" w:lineRule="atLeast"/>
        <w:jc w:val="left"/>
        <w:rPr>
          <w:rFonts w:ascii="宋体" w:hAnsi="宋体"/>
          <w:b/>
          <w:bCs/>
          <w:sz w:val="24"/>
        </w:rPr>
      </w:pPr>
      <w:r>
        <w:rPr>
          <w:rFonts w:hint="eastAsia" w:ascii="宋体" w:hAnsi="宋体"/>
          <w:b/>
          <w:bCs/>
          <w:sz w:val="24"/>
        </w:rPr>
        <w:t>过去一年时间内，贵单位购买的不同产品或接受的不同服务（含同一类型的不同产品或服务）的数量是：</w:t>
      </w:r>
    </w:p>
    <w:p>
      <w:pPr>
        <w:numPr>
          <w:ilvl w:val="0"/>
          <w:numId w:val="18"/>
        </w:numPr>
        <w:spacing w:line="240" w:lineRule="atLeast"/>
        <w:jc w:val="left"/>
        <w:rPr>
          <w:rFonts w:ascii="宋体" w:hAnsi="宋体"/>
          <w:sz w:val="24"/>
        </w:rPr>
      </w:pPr>
      <w:r>
        <w:rPr>
          <w:rFonts w:hint="eastAsia" w:ascii="宋体" w:hAnsi="宋体"/>
          <w:sz w:val="24"/>
        </w:rPr>
        <w:t>5个以下</w:t>
      </w:r>
    </w:p>
    <w:p>
      <w:pPr>
        <w:numPr>
          <w:ilvl w:val="0"/>
          <w:numId w:val="18"/>
        </w:numPr>
        <w:spacing w:line="240" w:lineRule="atLeast"/>
        <w:jc w:val="left"/>
        <w:rPr>
          <w:rFonts w:ascii="宋体" w:hAnsi="宋体"/>
          <w:sz w:val="24"/>
        </w:rPr>
      </w:pPr>
      <w:r>
        <w:rPr>
          <w:rFonts w:hint="eastAsia" w:ascii="宋体" w:hAnsi="宋体"/>
          <w:sz w:val="24"/>
        </w:rPr>
        <w:t>6至10个</w:t>
      </w:r>
    </w:p>
    <w:p>
      <w:pPr>
        <w:numPr>
          <w:ilvl w:val="0"/>
          <w:numId w:val="18"/>
        </w:numPr>
        <w:spacing w:line="240" w:lineRule="atLeast"/>
        <w:jc w:val="left"/>
        <w:rPr>
          <w:rFonts w:ascii="宋体" w:hAnsi="宋体"/>
          <w:sz w:val="24"/>
        </w:rPr>
      </w:pPr>
      <w:r>
        <w:rPr>
          <w:rFonts w:hint="eastAsia" w:ascii="宋体" w:hAnsi="宋体"/>
          <w:sz w:val="24"/>
        </w:rPr>
        <w:t>11至15个</w:t>
      </w:r>
    </w:p>
    <w:p>
      <w:pPr>
        <w:numPr>
          <w:ilvl w:val="0"/>
          <w:numId w:val="18"/>
        </w:numPr>
        <w:spacing w:line="240" w:lineRule="atLeast"/>
        <w:jc w:val="left"/>
        <w:rPr>
          <w:rFonts w:ascii="宋体" w:hAnsi="宋体"/>
          <w:sz w:val="24"/>
        </w:rPr>
      </w:pPr>
      <w:r>
        <w:rPr>
          <w:rFonts w:hint="eastAsia" w:ascii="宋体" w:hAnsi="宋体"/>
          <w:sz w:val="24"/>
        </w:rPr>
        <w:t>16个以上</w:t>
      </w:r>
    </w:p>
    <w:p>
      <w:pPr>
        <w:numPr>
          <w:ilvl w:val="0"/>
          <w:numId w:val="14"/>
        </w:numPr>
        <w:spacing w:line="240" w:lineRule="atLeast"/>
        <w:jc w:val="left"/>
        <w:rPr>
          <w:rFonts w:ascii="宋体" w:hAnsi="宋体"/>
          <w:b/>
          <w:bCs/>
          <w:sz w:val="24"/>
        </w:rPr>
      </w:pPr>
      <w:r>
        <w:rPr>
          <w:rFonts w:hint="eastAsia" w:ascii="宋体" w:hAnsi="宋体"/>
          <w:b/>
          <w:bCs/>
          <w:sz w:val="24"/>
        </w:rPr>
        <w:t>以下金融产品或服务，贵单位投资经验在两年以上的有：</w:t>
      </w:r>
    </w:p>
    <w:p>
      <w:pPr>
        <w:spacing w:line="240" w:lineRule="atLeast"/>
        <w:jc w:val="left"/>
        <w:rPr>
          <w:rFonts w:ascii="宋体" w:hAnsi="宋体"/>
          <w:sz w:val="24"/>
        </w:rPr>
      </w:pPr>
      <w:r>
        <w:rPr>
          <w:rFonts w:hint="eastAsia" w:ascii="宋体" w:hAnsi="宋体"/>
          <w:sz w:val="24"/>
        </w:rPr>
        <w:t>A. 银行存款等</w:t>
      </w:r>
    </w:p>
    <w:p>
      <w:pPr>
        <w:spacing w:line="240" w:lineRule="atLeast"/>
        <w:jc w:val="left"/>
        <w:rPr>
          <w:rFonts w:ascii="宋体" w:hAnsi="宋体"/>
          <w:sz w:val="24"/>
        </w:rPr>
      </w:pPr>
      <w:r>
        <w:rPr>
          <w:rFonts w:hint="eastAsia" w:ascii="宋体" w:hAnsi="宋体"/>
          <w:sz w:val="24"/>
        </w:rPr>
        <w:t>B. 债券、货币市场基金、债券型基金或其它固定收益类产品等</w:t>
      </w:r>
    </w:p>
    <w:p>
      <w:pPr>
        <w:spacing w:line="240" w:lineRule="atLeast"/>
        <w:jc w:val="left"/>
        <w:rPr>
          <w:rFonts w:ascii="宋体" w:hAnsi="宋体"/>
          <w:sz w:val="24"/>
        </w:rPr>
      </w:pPr>
      <w:r>
        <w:rPr>
          <w:rFonts w:hint="eastAsia" w:ascii="宋体" w:hAnsi="宋体"/>
          <w:sz w:val="24"/>
        </w:rPr>
        <w:t>C .股票、混合型基金、偏股型基金、股票型基金等权益类投资品种</w:t>
      </w:r>
    </w:p>
    <w:p>
      <w:pPr>
        <w:spacing w:line="240" w:lineRule="atLeast"/>
        <w:jc w:val="left"/>
        <w:rPr>
          <w:rFonts w:ascii="宋体" w:hAnsi="宋体"/>
          <w:sz w:val="24"/>
        </w:rPr>
      </w:pPr>
      <w:r>
        <w:rPr>
          <w:rFonts w:hint="eastAsia" w:ascii="宋体" w:hAnsi="宋体"/>
          <w:sz w:val="24"/>
        </w:rPr>
        <w:t>D. 期货、期权、融资融券等</w:t>
      </w:r>
    </w:p>
    <w:p>
      <w:pPr>
        <w:spacing w:line="240" w:lineRule="atLeast"/>
        <w:jc w:val="left"/>
        <w:rPr>
          <w:rFonts w:ascii="宋体" w:hAnsi="宋体"/>
          <w:sz w:val="24"/>
        </w:rPr>
      </w:pPr>
      <w:r>
        <w:rPr>
          <w:rFonts w:hint="eastAsia" w:ascii="宋体" w:hAnsi="宋体"/>
          <w:sz w:val="24"/>
        </w:rPr>
        <w:t>E. 复杂金融产品、其他产品或服务</w:t>
      </w:r>
    </w:p>
    <w:p>
      <w:pPr>
        <w:spacing w:line="240" w:lineRule="atLeast"/>
        <w:jc w:val="left"/>
        <w:rPr>
          <w:rFonts w:ascii="宋体" w:hAnsi="宋体"/>
          <w:sz w:val="24"/>
        </w:rPr>
      </w:pPr>
      <w:r>
        <w:rPr>
          <w:rFonts w:hint="eastAsia" w:ascii="宋体" w:hAnsi="宋体"/>
          <w:sz w:val="24"/>
        </w:rPr>
        <w:t>（注：本题可多选，但评分以其中最高分值选项为准。）</w:t>
      </w:r>
    </w:p>
    <w:p>
      <w:pPr>
        <w:numPr>
          <w:ilvl w:val="0"/>
          <w:numId w:val="14"/>
        </w:numPr>
        <w:spacing w:line="240" w:lineRule="atLeast"/>
        <w:jc w:val="left"/>
        <w:rPr>
          <w:rFonts w:ascii="宋体" w:hAnsi="宋体"/>
          <w:b/>
          <w:bCs/>
          <w:sz w:val="24"/>
        </w:rPr>
      </w:pPr>
      <w:r>
        <w:rPr>
          <w:rFonts w:hint="eastAsia" w:ascii="宋体" w:hAnsi="宋体"/>
          <w:b/>
          <w:bCs/>
          <w:sz w:val="24"/>
        </w:rPr>
        <w:t>如果贵单位曾经从事过金融市场投资，在交易较为活跃的月份，平均月交易额大概是多少：</w:t>
      </w:r>
    </w:p>
    <w:p>
      <w:pPr>
        <w:spacing w:line="240" w:lineRule="atLeast"/>
        <w:jc w:val="left"/>
        <w:rPr>
          <w:rFonts w:ascii="宋体" w:hAnsi="宋体"/>
          <w:sz w:val="24"/>
        </w:rPr>
      </w:pPr>
      <w:r>
        <w:rPr>
          <w:rFonts w:hint="eastAsia" w:ascii="宋体" w:hAnsi="宋体"/>
          <w:sz w:val="24"/>
        </w:rPr>
        <w:t>A. 100万元以内</w:t>
      </w:r>
    </w:p>
    <w:p>
      <w:pPr>
        <w:spacing w:line="240" w:lineRule="atLeast"/>
        <w:jc w:val="left"/>
        <w:rPr>
          <w:rFonts w:ascii="宋体" w:hAnsi="宋体"/>
          <w:sz w:val="24"/>
        </w:rPr>
      </w:pPr>
      <w:r>
        <w:rPr>
          <w:rFonts w:hint="eastAsia" w:ascii="宋体" w:hAnsi="宋体"/>
          <w:sz w:val="24"/>
        </w:rPr>
        <w:t>B. 100万元-300万元</w:t>
      </w:r>
    </w:p>
    <w:p>
      <w:pPr>
        <w:spacing w:line="240" w:lineRule="atLeast"/>
        <w:jc w:val="left"/>
        <w:rPr>
          <w:rFonts w:ascii="宋体" w:hAnsi="宋体"/>
          <w:sz w:val="24"/>
        </w:rPr>
      </w:pPr>
      <w:r>
        <w:rPr>
          <w:rFonts w:hint="eastAsia" w:ascii="宋体" w:hAnsi="宋体"/>
          <w:sz w:val="24"/>
        </w:rPr>
        <w:t>C. 300万元-1000万元</w:t>
      </w:r>
    </w:p>
    <w:p>
      <w:pPr>
        <w:spacing w:line="240" w:lineRule="atLeast"/>
        <w:jc w:val="left"/>
        <w:rPr>
          <w:rFonts w:ascii="宋体" w:hAnsi="宋体"/>
          <w:sz w:val="24"/>
        </w:rPr>
      </w:pPr>
      <w:r>
        <w:rPr>
          <w:rFonts w:hint="eastAsia" w:ascii="宋体" w:hAnsi="宋体"/>
          <w:sz w:val="24"/>
        </w:rPr>
        <w:t>D. 1000万元以上</w:t>
      </w:r>
    </w:p>
    <w:p>
      <w:pPr>
        <w:spacing w:line="240" w:lineRule="atLeast"/>
        <w:jc w:val="left"/>
        <w:rPr>
          <w:rFonts w:ascii="宋体" w:hAnsi="宋体"/>
          <w:sz w:val="24"/>
        </w:rPr>
      </w:pPr>
      <w:r>
        <w:rPr>
          <w:rFonts w:hint="eastAsia" w:ascii="宋体" w:hAnsi="宋体"/>
          <w:sz w:val="24"/>
        </w:rPr>
        <w:t>E. 从未投资过金融产品</w:t>
      </w:r>
    </w:p>
    <w:p>
      <w:pPr>
        <w:numPr>
          <w:ilvl w:val="0"/>
          <w:numId w:val="14"/>
        </w:numPr>
        <w:spacing w:line="240" w:lineRule="atLeast"/>
        <w:jc w:val="left"/>
        <w:rPr>
          <w:rFonts w:ascii="宋体" w:hAnsi="宋体"/>
          <w:b/>
          <w:bCs/>
          <w:sz w:val="24"/>
        </w:rPr>
      </w:pPr>
      <w:r>
        <w:rPr>
          <w:rFonts w:hint="eastAsia" w:ascii="宋体" w:hAnsi="宋体"/>
          <w:b/>
          <w:bCs/>
          <w:sz w:val="24"/>
        </w:rPr>
        <w:t>贵单位用于证券投资的大部分资金不会用作其它用途的时间段为：</w:t>
      </w:r>
    </w:p>
    <w:p>
      <w:pPr>
        <w:spacing w:line="240" w:lineRule="atLeast"/>
        <w:jc w:val="left"/>
        <w:rPr>
          <w:rFonts w:ascii="宋体" w:hAnsi="宋体"/>
          <w:sz w:val="24"/>
        </w:rPr>
      </w:pPr>
      <w:r>
        <w:rPr>
          <w:rFonts w:hint="eastAsia" w:ascii="宋体" w:hAnsi="宋体"/>
          <w:sz w:val="24"/>
        </w:rPr>
        <w:t>A．0到1年</w:t>
      </w:r>
    </w:p>
    <w:p>
      <w:pPr>
        <w:spacing w:line="240" w:lineRule="atLeast"/>
        <w:jc w:val="left"/>
        <w:rPr>
          <w:rFonts w:ascii="宋体" w:hAnsi="宋体"/>
          <w:sz w:val="24"/>
        </w:rPr>
      </w:pPr>
      <w:r>
        <w:rPr>
          <w:rFonts w:hint="eastAsia" w:ascii="宋体" w:hAnsi="宋体"/>
          <w:sz w:val="24"/>
        </w:rPr>
        <w:t>B．1到5年</w:t>
      </w:r>
    </w:p>
    <w:p>
      <w:pPr>
        <w:spacing w:line="240" w:lineRule="atLeast"/>
        <w:jc w:val="left"/>
        <w:rPr>
          <w:rFonts w:ascii="宋体" w:hAnsi="宋体"/>
          <w:sz w:val="24"/>
        </w:rPr>
      </w:pPr>
      <w:r>
        <w:rPr>
          <w:rFonts w:hint="eastAsia" w:ascii="宋体" w:hAnsi="宋体"/>
          <w:sz w:val="24"/>
        </w:rPr>
        <w:t>C．无特别要求</w:t>
      </w:r>
    </w:p>
    <w:p>
      <w:pPr>
        <w:numPr>
          <w:ilvl w:val="0"/>
          <w:numId w:val="14"/>
        </w:numPr>
        <w:spacing w:line="240" w:lineRule="atLeast"/>
        <w:jc w:val="left"/>
        <w:rPr>
          <w:rFonts w:ascii="宋体" w:hAnsi="宋体"/>
          <w:b/>
          <w:bCs/>
          <w:sz w:val="24"/>
        </w:rPr>
      </w:pPr>
      <w:r>
        <w:rPr>
          <w:rFonts w:hint="eastAsia" w:ascii="宋体" w:hAnsi="宋体"/>
          <w:b/>
          <w:bCs/>
          <w:sz w:val="24"/>
        </w:rPr>
        <w:t>贵单位进行投资时的期望收益是：</w:t>
      </w:r>
    </w:p>
    <w:p>
      <w:pPr>
        <w:spacing w:line="240" w:lineRule="atLeast"/>
        <w:jc w:val="left"/>
        <w:rPr>
          <w:rFonts w:ascii="宋体" w:hAnsi="宋体"/>
          <w:sz w:val="24"/>
        </w:rPr>
      </w:pPr>
      <w:r>
        <w:rPr>
          <w:rFonts w:hint="eastAsia" w:ascii="宋体" w:hAnsi="宋体"/>
          <w:sz w:val="24"/>
        </w:rPr>
        <w:t>A．尽可能保证本金安全，不在乎收益率比较低</w:t>
      </w:r>
    </w:p>
    <w:p>
      <w:pPr>
        <w:spacing w:line="240" w:lineRule="atLeast"/>
        <w:jc w:val="left"/>
        <w:rPr>
          <w:rFonts w:ascii="宋体" w:hAnsi="宋体"/>
          <w:sz w:val="24"/>
        </w:rPr>
      </w:pPr>
      <w:r>
        <w:rPr>
          <w:rFonts w:hint="eastAsia" w:ascii="宋体" w:hAnsi="宋体"/>
          <w:sz w:val="24"/>
        </w:rPr>
        <w:t>B．</w:t>
      </w:r>
      <w:r>
        <w:rPr>
          <w:rFonts w:ascii="宋体" w:hAnsi="宋体"/>
          <w:sz w:val="24"/>
        </w:rPr>
        <w:t>产生一</w:t>
      </w:r>
      <w:r>
        <w:rPr>
          <w:rFonts w:hint="eastAsia" w:ascii="宋体" w:hAnsi="宋体"/>
          <w:sz w:val="24"/>
        </w:rPr>
        <w:t>定</w:t>
      </w:r>
      <w:r>
        <w:rPr>
          <w:rFonts w:ascii="宋体" w:hAnsi="宋体"/>
          <w:sz w:val="24"/>
        </w:rPr>
        <w:t>的收益，</w:t>
      </w:r>
      <w:r>
        <w:rPr>
          <w:rFonts w:hint="eastAsia" w:ascii="宋体" w:hAnsi="宋体"/>
          <w:sz w:val="24"/>
        </w:rPr>
        <w:t>可以</w:t>
      </w:r>
      <w:r>
        <w:rPr>
          <w:rFonts w:ascii="宋体" w:hAnsi="宋体"/>
          <w:sz w:val="24"/>
        </w:rPr>
        <w:t>承担一定的投资风险</w:t>
      </w:r>
    </w:p>
    <w:p>
      <w:pPr>
        <w:spacing w:line="240" w:lineRule="atLeast"/>
        <w:jc w:val="left"/>
        <w:rPr>
          <w:rFonts w:ascii="宋体" w:hAnsi="宋体"/>
          <w:sz w:val="24"/>
        </w:rPr>
      </w:pPr>
      <w:r>
        <w:rPr>
          <w:rFonts w:hint="eastAsia" w:ascii="宋体" w:hAnsi="宋体"/>
          <w:sz w:val="24"/>
        </w:rPr>
        <w:t>C．产生较多的收益，可以承担较大的投资风险</w:t>
      </w:r>
    </w:p>
    <w:p>
      <w:pPr>
        <w:spacing w:line="240" w:lineRule="atLeast"/>
        <w:jc w:val="left"/>
        <w:rPr>
          <w:rFonts w:hint="eastAsia" w:ascii="宋体" w:hAnsi="宋体"/>
          <w:sz w:val="24"/>
        </w:rPr>
      </w:pPr>
      <w:r>
        <w:rPr>
          <w:rFonts w:hint="eastAsia" w:ascii="宋体" w:hAnsi="宋体"/>
          <w:sz w:val="24"/>
        </w:rPr>
        <w:t>D．实现资产大幅增长，愿意承担很大的投资风险</w:t>
      </w:r>
    </w:p>
    <w:p>
      <w:pPr>
        <w:spacing w:line="240" w:lineRule="atLeast"/>
        <w:jc w:val="left"/>
        <w:rPr>
          <w:rFonts w:ascii="宋体" w:hAnsi="宋体"/>
          <w:sz w:val="24"/>
        </w:rPr>
      </w:pPr>
    </w:p>
    <w:p>
      <w:pPr>
        <w:numPr>
          <w:ilvl w:val="0"/>
          <w:numId w:val="14"/>
        </w:numPr>
        <w:spacing w:line="240" w:lineRule="atLeast"/>
        <w:jc w:val="left"/>
        <w:rPr>
          <w:rFonts w:ascii="宋体" w:hAnsi="宋体"/>
          <w:b/>
          <w:bCs/>
          <w:sz w:val="24"/>
        </w:rPr>
      </w:pPr>
      <w:r>
        <w:rPr>
          <w:rFonts w:hint="eastAsia" w:ascii="宋体" w:hAnsi="宋体"/>
          <w:b/>
          <w:bCs/>
          <w:sz w:val="24"/>
        </w:rPr>
        <w:t>贵单位打算重点投资于哪些种类的投资品种？</w:t>
      </w:r>
    </w:p>
    <w:p>
      <w:pPr>
        <w:numPr>
          <w:ilvl w:val="0"/>
          <w:numId w:val="19"/>
        </w:numPr>
        <w:spacing w:line="240" w:lineRule="atLeast"/>
        <w:jc w:val="left"/>
        <w:rPr>
          <w:rFonts w:ascii="宋体" w:hAnsi="宋体"/>
          <w:sz w:val="24"/>
        </w:rPr>
      </w:pPr>
      <w:r>
        <w:rPr>
          <w:rFonts w:hint="eastAsia" w:ascii="宋体" w:hAnsi="宋体"/>
          <w:sz w:val="24"/>
        </w:rPr>
        <w:t>债券、货币市场基金、债券基金等固定收益类投资品种</w:t>
      </w:r>
    </w:p>
    <w:p>
      <w:pPr>
        <w:numPr>
          <w:ilvl w:val="0"/>
          <w:numId w:val="19"/>
        </w:numPr>
        <w:spacing w:line="240" w:lineRule="atLeast"/>
        <w:jc w:val="left"/>
        <w:rPr>
          <w:rFonts w:ascii="宋体" w:hAnsi="宋体"/>
          <w:sz w:val="24"/>
        </w:rPr>
      </w:pPr>
      <w:r>
        <w:rPr>
          <w:rFonts w:hint="eastAsia" w:ascii="宋体" w:hAnsi="宋体"/>
          <w:sz w:val="24"/>
        </w:rPr>
        <w:t>股票、混合型基金、偏股型基金、股票型基金等权益类投资品种</w:t>
      </w:r>
    </w:p>
    <w:p>
      <w:pPr>
        <w:numPr>
          <w:ilvl w:val="0"/>
          <w:numId w:val="19"/>
        </w:numPr>
        <w:spacing w:line="240" w:lineRule="atLeast"/>
        <w:jc w:val="left"/>
        <w:rPr>
          <w:rFonts w:ascii="宋体" w:hAnsi="宋体"/>
          <w:sz w:val="24"/>
        </w:rPr>
      </w:pPr>
      <w:r>
        <w:rPr>
          <w:rFonts w:hint="eastAsia" w:ascii="宋体" w:hAnsi="宋体"/>
          <w:sz w:val="24"/>
        </w:rPr>
        <w:t>期货、期权、融资融券等</w:t>
      </w:r>
    </w:p>
    <w:p>
      <w:pPr>
        <w:numPr>
          <w:ilvl w:val="0"/>
          <w:numId w:val="19"/>
        </w:numPr>
        <w:spacing w:line="240" w:lineRule="atLeast"/>
        <w:jc w:val="left"/>
        <w:rPr>
          <w:rFonts w:ascii="宋体" w:hAnsi="宋体"/>
          <w:sz w:val="24"/>
        </w:rPr>
      </w:pPr>
      <w:r>
        <w:rPr>
          <w:rFonts w:hint="eastAsia" w:ascii="宋体" w:hAnsi="宋体"/>
          <w:sz w:val="24"/>
        </w:rPr>
        <w:t>复杂金融产品或服务</w:t>
      </w:r>
    </w:p>
    <w:p>
      <w:pPr>
        <w:numPr>
          <w:ilvl w:val="0"/>
          <w:numId w:val="19"/>
        </w:numPr>
        <w:spacing w:line="240" w:lineRule="atLeast"/>
        <w:jc w:val="left"/>
        <w:rPr>
          <w:rFonts w:ascii="宋体" w:hAnsi="宋体"/>
          <w:sz w:val="24"/>
        </w:rPr>
      </w:pPr>
      <w:r>
        <w:rPr>
          <w:rFonts w:hint="eastAsia" w:ascii="宋体" w:hAnsi="宋体"/>
          <w:sz w:val="24"/>
        </w:rPr>
        <w:t>其他产品或服务</w:t>
      </w:r>
    </w:p>
    <w:p>
      <w:pPr>
        <w:spacing w:line="240" w:lineRule="atLeast"/>
        <w:jc w:val="left"/>
        <w:rPr>
          <w:rFonts w:ascii="宋体" w:hAnsi="宋体"/>
          <w:sz w:val="24"/>
        </w:rPr>
      </w:pPr>
      <w:r>
        <w:rPr>
          <w:rFonts w:hint="eastAsia" w:ascii="宋体" w:hAnsi="宋体"/>
          <w:sz w:val="24"/>
        </w:rPr>
        <w:t>（注：本题可多选，但评分以其中最高分值选项为准。）</w:t>
      </w:r>
    </w:p>
    <w:p>
      <w:pPr>
        <w:numPr>
          <w:ilvl w:val="0"/>
          <w:numId w:val="14"/>
        </w:numPr>
        <w:spacing w:line="240" w:lineRule="atLeast"/>
        <w:jc w:val="left"/>
        <w:rPr>
          <w:rFonts w:ascii="宋体" w:hAnsi="宋体"/>
          <w:b/>
          <w:bCs/>
          <w:sz w:val="24"/>
        </w:rPr>
      </w:pPr>
      <w:r>
        <w:rPr>
          <w:rFonts w:hint="eastAsia" w:ascii="宋体" w:hAnsi="宋体"/>
          <w:b/>
          <w:bCs/>
          <w:sz w:val="24"/>
        </w:rPr>
        <w:t>贵单位认为自己能承受的最大投资损失是多少？</w:t>
      </w:r>
    </w:p>
    <w:p>
      <w:pPr>
        <w:spacing w:line="240" w:lineRule="atLeast"/>
        <w:jc w:val="left"/>
        <w:rPr>
          <w:rFonts w:ascii="宋体" w:hAnsi="宋体"/>
          <w:sz w:val="24"/>
        </w:rPr>
      </w:pPr>
      <w:r>
        <w:rPr>
          <w:rFonts w:hint="eastAsia" w:ascii="宋体" w:hAnsi="宋体"/>
          <w:sz w:val="24"/>
        </w:rPr>
        <w:t>A. 不能承受任何损失</w:t>
      </w:r>
    </w:p>
    <w:p>
      <w:pPr>
        <w:spacing w:line="240" w:lineRule="atLeast"/>
        <w:jc w:val="left"/>
        <w:rPr>
          <w:rFonts w:ascii="宋体" w:hAnsi="宋体"/>
          <w:sz w:val="24"/>
        </w:rPr>
      </w:pPr>
      <w:r>
        <w:rPr>
          <w:rFonts w:hint="eastAsia" w:ascii="宋体" w:hAnsi="宋体"/>
          <w:sz w:val="24"/>
        </w:rPr>
        <w:t xml:space="preserve">B. </w:t>
      </w:r>
      <w:r>
        <w:rPr>
          <w:rFonts w:ascii="宋体" w:hAnsi="宋体"/>
          <w:sz w:val="24"/>
        </w:rPr>
        <w:t>一定的投资</w:t>
      </w:r>
      <w:r>
        <w:rPr>
          <w:rFonts w:hint="eastAsia" w:ascii="宋体" w:hAnsi="宋体"/>
          <w:sz w:val="24"/>
        </w:rPr>
        <w:t>损失</w:t>
      </w:r>
    </w:p>
    <w:p>
      <w:pPr>
        <w:spacing w:line="240" w:lineRule="atLeast"/>
        <w:jc w:val="left"/>
        <w:rPr>
          <w:rFonts w:ascii="宋体" w:hAnsi="宋体"/>
          <w:sz w:val="24"/>
        </w:rPr>
      </w:pPr>
      <w:r>
        <w:rPr>
          <w:rFonts w:hint="eastAsia" w:ascii="宋体" w:hAnsi="宋体"/>
          <w:sz w:val="24"/>
        </w:rPr>
        <w:t xml:space="preserve">C. </w:t>
      </w:r>
      <w:r>
        <w:rPr>
          <w:rFonts w:ascii="宋体" w:hAnsi="宋体"/>
          <w:sz w:val="24"/>
        </w:rPr>
        <w:t>较大的投资损失</w:t>
      </w:r>
    </w:p>
    <w:p>
      <w:pPr>
        <w:spacing w:line="240" w:lineRule="atLeast"/>
        <w:jc w:val="left"/>
        <w:rPr>
          <w:rFonts w:ascii="宋体" w:hAnsi="宋体"/>
          <w:sz w:val="24"/>
        </w:rPr>
      </w:pPr>
      <w:r>
        <w:rPr>
          <w:rFonts w:hint="eastAsia" w:ascii="宋体" w:hAnsi="宋体"/>
          <w:sz w:val="24"/>
        </w:rPr>
        <w:t xml:space="preserve">D. </w:t>
      </w:r>
      <w:r>
        <w:rPr>
          <w:rFonts w:ascii="宋体" w:hAnsi="宋体"/>
          <w:sz w:val="24"/>
        </w:rPr>
        <w:t>损失可能超过本金</w:t>
      </w:r>
    </w:p>
    <w:p>
      <w:pPr>
        <w:numPr>
          <w:ilvl w:val="0"/>
          <w:numId w:val="14"/>
        </w:numPr>
        <w:spacing w:line="240" w:lineRule="atLeast"/>
        <w:jc w:val="left"/>
        <w:rPr>
          <w:rFonts w:ascii="宋体" w:hAnsi="宋体"/>
          <w:b/>
          <w:bCs/>
          <w:sz w:val="24"/>
        </w:rPr>
      </w:pPr>
      <w:r>
        <w:rPr>
          <w:rFonts w:hint="eastAsia" w:ascii="宋体" w:hAnsi="宋体"/>
          <w:b/>
          <w:bCs/>
          <w:sz w:val="24"/>
        </w:rPr>
        <w:t>假设有两种不同的投资：投资A期望获得5%的收益，有可能承担非常小的损失；投资B期望获得20%的收益，但有可能面临25%甚至更高的亏损。您将您的投资资产分配为：</w:t>
      </w:r>
    </w:p>
    <w:p>
      <w:pPr>
        <w:spacing w:line="240" w:lineRule="atLeast"/>
        <w:jc w:val="left"/>
        <w:rPr>
          <w:rFonts w:ascii="宋体" w:hAnsi="宋体"/>
          <w:sz w:val="24"/>
        </w:rPr>
      </w:pPr>
      <w:r>
        <w:rPr>
          <w:rFonts w:hint="eastAsia" w:ascii="宋体" w:hAnsi="宋体"/>
          <w:sz w:val="24"/>
        </w:rPr>
        <w:t>A．全部投资于A</w:t>
      </w:r>
    </w:p>
    <w:p>
      <w:pPr>
        <w:spacing w:line="240" w:lineRule="atLeast"/>
        <w:jc w:val="left"/>
        <w:rPr>
          <w:rFonts w:ascii="宋体" w:hAnsi="宋体"/>
          <w:sz w:val="24"/>
        </w:rPr>
      </w:pPr>
      <w:r>
        <w:rPr>
          <w:rFonts w:hint="eastAsia" w:ascii="宋体" w:hAnsi="宋体"/>
          <w:sz w:val="24"/>
        </w:rPr>
        <w:t>B．大部分投资于A</w:t>
      </w:r>
    </w:p>
    <w:p>
      <w:pPr>
        <w:spacing w:line="240" w:lineRule="atLeast"/>
        <w:jc w:val="left"/>
        <w:rPr>
          <w:rFonts w:ascii="宋体" w:hAnsi="宋体"/>
          <w:sz w:val="24"/>
        </w:rPr>
      </w:pPr>
      <w:r>
        <w:rPr>
          <w:rFonts w:hint="eastAsia" w:ascii="宋体" w:hAnsi="宋体"/>
          <w:sz w:val="24"/>
        </w:rPr>
        <w:t>C．两种投资各一半</w:t>
      </w:r>
    </w:p>
    <w:p>
      <w:pPr>
        <w:spacing w:line="240" w:lineRule="atLeast"/>
        <w:jc w:val="left"/>
        <w:rPr>
          <w:rFonts w:ascii="宋体" w:hAnsi="宋体"/>
          <w:sz w:val="24"/>
        </w:rPr>
      </w:pPr>
      <w:r>
        <w:rPr>
          <w:rFonts w:hint="eastAsia" w:ascii="宋体" w:hAnsi="宋体"/>
          <w:sz w:val="24"/>
        </w:rPr>
        <w:t>D．大部分投资于B</w:t>
      </w:r>
    </w:p>
    <w:p>
      <w:pPr>
        <w:spacing w:line="240" w:lineRule="atLeast"/>
        <w:jc w:val="left"/>
        <w:rPr>
          <w:rFonts w:ascii="宋体" w:hAnsi="宋体"/>
          <w:sz w:val="24"/>
        </w:rPr>
      </w:pPr>
      <w:r>
        <w:rPr>
          <w:rFonts w:hint="eastAsia" w:ascii="宋体" w:hAnsi="宋体"/>
          <w:sz w:val="24"/>
        </w:rPr>
        <w:t>E．全部投资于B</w:t>
      </w:r>
    </w:p>
    <w:p>
      <w:pPr>
        <w:numPr>
          <w:ilvl w:val="0"/>
          <w:numId w:val="14"/>
        </w:numPr>
        <w:spacing w:line="240" w:lineRule="atLeast"/>
        <w:jc w:val="left"/>
        <w:rPr>
          <w:rFonts w:ascii="宋体" w:hAnsi="宋体"/>
          <w:b/>
          <w:bCs/>
          <w:sz w:val="24"/>
        </w:rPr>
      </w:pPr>
      <w:r>
        <w:rPr>
          <w:rFonts w:hint="eastAsia" w:ascii="宋体" w:hAnsi="宋体"/>
          <w:b/>
          <w:bCs/>
          <w:sz w:val="24"/>
        </w:rPr>
        <w:t>贵单位参与金融产品投资的主要目的是什么：</w:t>
      </w:r>
    </w:p>
    <w:p>
      <w:pPr>
        <w:numPr>
          <w:ilvl w:val="0"/>
          <w:numId w:val="20"/>
        </w:numPr>
        <w:spacing w:line="240" w:lineRule="atLeast"/>
        <w:jc w:val="left"/>
        <w:rPr>
          <w:rFonts w:ascii="宋体" w:hAnsi="宋体"/>
          <w:sz w:val="24"/>
        </w:rPr>
      </w:pPr>
      <w:r>
        <w:rPr>
          <w:rFonts w:hint="eastAsia" w:ascii="宋体" w:hAnsi="宋体"/>
          <w:sz w:val="24"/>
        </w:rPr>
        <w:t>闲置资金保值增值</w:t>
      </w:r>
    </w:p>
    <w:p>
      <w:pPr>
        <w:numPr>
          <w:ilvl w:val="0"/>
          <w:numId w:val="20"/>
        </w:numPr>
        <w:spacing w:line="240" w:lineRule="atLeast"/>
        <w:jc w:val="left"/>
        <w:rPr>
          <w:rFonts w:ascii="宋体" w:hAnsi="宋体"/>
          <w:sz w:val="24"/>
        </w:rPr>
      </w:pPr>
      <w:r>
        <w:rPr>
          <w:rFonts w:hint="eastAsia" w:ascii="宋体" w:hAnsi="宋体"/>
          <w:sz w:val="24"/>
        </w:rPr>
        <w:t>获取主营业务以外的投资收益</w:t>
      </w:r>
    </w:p>
    <w:p>
      <w:pPr>
        <w:numPr>
          <w:ilvl w:val="0"/>
          <w:numId w:val="20"/>
        </w:numPr>
        <w:spacing w:line="240" w:lineRule="atLeast"/>
        <w:jc w:val="left"/>
        <w:rPr>
          <w:rFonts w:ascii="宋体" w:hAnsi="宋体"/>
          <w:sz w:val="24"/>
        </w:rPr>
      </w:pPr>
      <w:r>
        <w:rPr>
          <w:rFonts w:hint="eastAsia" w:ascii="宋体" w:hAnsi="宋体"/>
          <w:sz w:val="24"/>
        </w:rPr>
        <w:t>现货套期保值、对冲主营业务风险</w:t>
      </w:r>
    </w:p>
    <w:p>
      <w:pPr>
        <w:numPr>
          <w:ilvl w:val="0"/>
          <w:numId w:val="20"/>
        </w:numPr>
        <w:spacing w:line="240" w:lineRule="atLeast"/>
        <w:jc w:val="left"/>
        <w:rPr>
          <w:rFonts w:ascii="宋体" w:hAnsi="宋体"/>
          <w:sz w:val="24"/>
        </w:rPr>
      </w:pPr>
      <w:r>
        <w:rPr>
          <w:rFonts w:hint="eastAsia" w:ascii="宋体" w:hAnsi="宋体"/>
          <w:sz w:val="24"/>
        </w:rPr>
        <w:t>减持已持有的股票</w:t>
      </w:r>
    </w:p>
    <w:p>
      <w:pPr>
        <w:spacing w:line="240" w:lineRule="atLeast"/>
        <w:rPr>
          <w:rFonts w:hint="eastAsia" w:ascii="宋体" w:hAnsi="宋体"/>
          <w:sz w:val="24"/>
          <w:u w:val="single"/>
        </w:rPr>
      </w:pPr>
    </w:p>
    <w:p>
      <w:pPr>
        <w:spacing w:line="240" w:lineRule="atLeast"/>
        <w:rPr>
          <w:rFonts w:ascii="宋体" w:hAnsi="宋体"/>
          <w:b/>
          <w:sz w:val="24"/>
          <w:u w:val="single"/>
        </w:rPr>
      </w:pPr>
      <w:r>
        <w:rPr>
          <w:rFonts w:hint="eastAsia" w:ascii="宋体" w:hAnsi="宋体"/>
          <w:b/>
          <w:sz w:val="24"/>
          <w:u w:val="single"/>
        </w:rPr>
        <w:t>投资者签署确认</w:t>
      </w:r>
    </w:p>
    <w:p>
      <w:pPr>
        <w:spacing w:line="240" w:lineRule="atLeast"/>
        <w:rPr>
          <w:rFonts w:ascii="宋体" w:hAnsi="宋体"/>
          <w:bCs/>
          <w:sz w:val="24"/>
        </w:rPr>
      </w:pPr>
    </w:p>
    <w:p>
      <w:pPr>
        <w:spacing w:line="240" w:lineRule="atLeast"/>
        <w:ind w:firstLine="471" w:firstLineChars="196"/>
        <w:rPr>
          <w:rFonts w:ascii="宋体" w:hAnsi="宋体"/>
          <w:b/>
          <w:bCs/>
          <w:sz w:val="24"/>
        </w:rPr>
      </w:pPr>
      <w:r>
        <w:rPr>
          <w:rFonts w:hint="eastAsia" w:ascii="宋体" w:hAnsi="宋体"/>
          <w:b/>
          <w:bCs/>
          <w:sz w:val="24"/>
        </w:rPr>
        <w:t>本机构已经了解并愿意遵守国家有关证券市场管理的法律、法规、规章及相关业务规则，本机构在此郑重承诺以上填写的内容真实、准确、完整并对其负责。若本机构提供的信息发生任何重大变化，本机构将及时书面通知贵公司。</w:t>
      </w:r>
    </w:p>
    <w:p>
      <w:pPr>
        <w:spacing w:line="240" w:lineRule="atLeast"/>
        <w:rPr>
          <w:rFonts w:ascii="宋体" w:hAnsi="宋体"/>
          <w:bCs/>
          <w:sz w:val="24"/>
        </w:rPr>
      </w:pPr>
    </w:p>
    <w:p>
      <w:pPr>
        <w:spacing w:line="240" w:lineRule="atLeast"/>
        <w:rPr>
          <w:rFonts w:ascii="宋体" w:hAnsi="宋体"/>
          <w:bCs/>
          <w:sz w:val="24"/>
        </w:rPr>
      </w:pPr>
      <w:r>
        <w:rPr>
          <w:rFonts w:hint="eastAsia" w:ascii="宋体" w:hAnsi="宋体"/>
          <w:bCs/>
          <w:sz w:val="24"/>
        </w:rPr>
        <w:t xml:space="preserve">                                         投资者（盖章）：</w:t>
      </w:r>
    </w:p>
    <w:p>
      <w:pPr>
        <w:spacing w:line="240" w:lineRule="atLeast"/>
        <w:rPr>
          <w:rFonts w:ascii="宋体" w:hAnsi="宋体"/>
          <w:sz w:val="24"/>
        </w:rPr>
      </w:pPr>
      <w:r>
        <w:rPr>
          <w:rFonts w:hint="eastAsia" w:ascii="宋体" w:hAnsi="宋体"/>
          <w:bCs/>
          <w:sz w:val="24"/>
        </w:rPr>
        <w:t xml:space="preserve">                                         签署日期： </w:t>
      </w:r>
    </w:p>
    <w:p>
      <w:pPr>
        <w:spacing w:line="240" w:lineRule="atLeast"/>
        <w:jc w:val="left"/>
        <w:rPr>
          <w:rFonts w:hint="eastAsia" w:ascii="宋体" w:hAnsi="宋体"/>
          <w:bCs/>
          <w:sz w:val="24"/>
        </w:rPr>
      </w:pPr>
    </w:p>
    <w:p>
      <w:pPr>
        <w:spacing w:line="240" w:lineRule="atLeast"/>
        <w:jc w:val="left"/>
        <w:rPr>
          <w:rFonts w:hint="eastAsia" w:ascii="宋体" w:hAnsi="宋体"/>
          <w:bCs/>
          <w:sz w:val="24"/>
        </w:rPr>
      </w:pPr>
    </w:p>
    <w:p>
      <w:pPr>
        <w:spacing w:line="240" w:lineRule="atLeast"/>
        <w:jc w:val="left"/>
        <w:rPr>
          <w:rFonts w:hint="eastAsia" w:ascii="宋体" w:hAnsi="宋体"/>
          <w:bCs/>
          <w:sz w:val="24"/>
        </w:rPr>
      </w:pPr>
    </w:p>
    <w:p>
      <w:pPr>
        <w:spacing w:line="240" w:lineRule="atLeast"/>
        <w:jc w:val="left"/>
        <w:rPr>
          <w:rFonts w:hint="eastAsia" w:ascii="宋体" w:hAnsi="宋体"/>
          <w:bCs/>
          <w:sz w:val="24"/>
        </w:rPr>
      </w:pPr>
    </w:p>
    <w:p>
      <w:pPr>
        <w:spacing w:line="240" w:lineRule="atLeast"/>
        <w:jc w:val="left"/>
        <w:rPr>
          <w:rFonts w:hint="eastAsia" w:ascii="宋体" w:hAnsi="宋体"/>
          <w:bCs/>
          <w:sz w:val="24"/>
        </w:rPr>
      </w:pPr>
    </w:p>
    <w:p>
      <w:pPr>
        <w:spacing w:line="240" w:lineRule="atLeast"/>
        <w:jc w:val="left"/>
        <w:rPr>
          <w:rFonts w:hint="eastAsia" w:ascii="宋体" w:hAnsi="宋体"/>
          <w:bCs/>
          <w:sz w:val="24"/>
        </w:rPr>
      </w:pPr>
    </w:p>
    <w:p>
      <w:pPr>
        <w:spacing w:line="240" w:lineRule="atLeast"/>
        <w:jc w:val="left"/>
        <w:rPr>
          <w:rFonts w:hint="eastAsia" w:ascii="宋体" w:hAnsi="宋体"/>
          <w:bCs/>
          <w:sz w:val="24"/>
        </w:rPr>
      </w:pPr>
    </w:p>
    <w:p>
      <w:pPr>
        <w:spacing w:line="240" w:lineRule="atLeast"/>
        <w:jc w:val="left"/>
        <w:rPr>
          <w:rFonts w:ascii="宋体" w:hAnsi="宋体"/>
          <w:bCs/>
          <w:sz w:val="24"/>
        </w:rPr>
      </w:pPr>
      <w:r>
        <w:rPr>
          <w:rFonts w:hint="eastAsia" w:ascii="宋体" w:hAnsi="宋体"/>
          <w:bCs/>
          <w:sz w:val="24"/>
        </w:rPr>
        <w:t>问卷及评估方法说明：</w:t>
      </w:r>
    </w:p>
    <w:p>
      <w:pPr>
        <w:numPr>
          <w:ilvl w:val="0"/>
          <w:numId w:val="21"/>
        </w:numPr>
        <w:spacing w:line="240" w:lineRule="atLeast"/>
        <w:ind w:firstLine="480" w:firstLineChars="200"/>
        <w:jc w:val="left"/>
        <w:rPr>
          <w:rFonts w:ascii="宋体" w:hAnsi="宋体"/>
          <w:bCs/>
          <w:sz w:val="24"/>
        </w:rPr>
      </w:pPr>
      <w:r>
        <w:rPr>
          <w:rFonts w:hint="eastAsia" w:ascii="宋体" w:hAnsi="宋体"/>
          <w:bCs/>
          <w:sz w:val="24"/>
        </w:rPr>
        <w:t>证券经营机构可在本问卷基础上增加本公司认为较重要的问题，或对本问卷现有问题及答案的表述方式或内容进行调整，以更全面地了解投资者风险承受能力情况。</w:t>
      </w:r>
    </w:p>
    <w:p>
      <w:pPr>
        <w:numPr>
          <w:ilvl w:val="0"/>
          <w:numId w:val="21"/>
        </w:numPr>
        <w:spacing w:line="240" w:lineRule="atLeast"/>
        <w:ind w:firstLine="480" w:firstLineChars="200"/>
        <w:jc w:val="left"/>
        <w:rPr>
          <w:rFonts w:ascii="宋体" w:hAnsi="宋体"/>
          <w:bCs/>
          <w:sz w:val="24"/>
        </w:rPr>
      </w:pPr>
      <w:r>
        <w:rPr>
          <w:rFonts w:hint="eastAsia" w:ascii="宋体" w:hAnsi="宋体"/>
          <w:bCs/>
          <w:sz w:val="24"/>
        </w:rPr>
        <w:t>证券经营机构进行评估时，应根据评估选项与风险承受能力的相关性，确定选项的分值和权重，同时建立评估分值与风险承受能力等级的对应关系。为全面综合考虑投资者风险承受能力，分值设置应整体均衡，但对于特别重要的问题，分值设置可考虑有所偏重。</w:t>
      </w:r>
    </w:p>
    <w:p>
      <w:pPr>
        <w:numPr>
          <w:ilvl w:val="0"/>
          <w:numId w:val="21"/>
        </w:numPr>
        <w:spacing w:line="240" w:lineRule="atLeast"/>
        <w:ind w:firstLine="480" w:firstLineChars="200"/>
        <w:jc w:val="left"/>
        <w:rPr>
          <w:rFonts w:ascii="宋体" w:hAnsi="宋体"/>
          <w:bCs/>
          <w:sz w:val="24"/>
        </w:rPr>
      </w:pPr>
      <w:r>
        <w:rPr>
          <w:rFonts w:hint="eastAsia" w:ascii="宋体" w:hAnsi="宋体"/>
          <w:bCs/>
          <w:sz w:val="24"/>
        </w:rPr>
        <w:t>证券经营机构根据评分情况设置投资者风险承受能力等级，等级应与问卷测评分数段一一对应。投资者风险承受能力等级划分与本公司产品风险等级划分应当一致。</w:t>
      </w: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
          <w:sz w:val="24"/>
        </w:rPr>
      </w:pPr>
    </w:p>
    <w:p>
      <w:pPr>
        <w:spacing w:line="240" w:lineRule="atLeast"/>
        <w:jc w:val="left"/>
        <w:rPr>
          <w:rFonts w:hint="eastAsia" w:ascii="宋体" w:hAnsi="宋体"/>
          <w:bCs/>
          <w:sz w:val="24"/>
        </w:rPr>
      </w:pPr>
    </w:p>
    <w:p>
      <w:pPr>
        <w:spacing w:line="240" w:lineRule="atLeast"/>
        <w:jc w:val="left"/>
        <w:rPr>
          <w:rFonts w:hint="eastAsia" w:ascii="宋体" w:hAnsi="宋体"/>
          <w:bCs/>
          <w:szCs w:val="21"/>
        </w:rPr>
      </w:pPr>
      <w:r>
        <w:rPr>
          <w:rFonts w:hint="eastAsia" w:ascii="宋体" w:hAnsi="宋体"/>
          <w:szCs w:val="21"/>
        </w:rPr>
        <w:t>注：机构投资者包括法人和其他组织。</w:t>
      </w:r>
    </w:p>
    <w:p>
      <w:pPr>
        <w:spacing w:line="240" w:lineRule="atLeast"/>
        <w:jc w:val="left"/>
        <w:rPr>
          <w:rFonts w:ascii="宋体" w:hAnsi="宋体"/>
          <w:b/>
          <w:sz w:val="24"/>
        </w:rPr>
      </w:pPr>
      <w:r>
        <w:rPr>
          <w:rFonts w:hint="eastAsia" w:ascii="宋体" w:hAnsi="宋体"/>
          <w:bCs/>
          <w:sz w:val="24"/>
        </w:rPr>
        <w:br w:type="page"/>
      </w:r>
    </w:p>
    <w:p>
      <w:pPr>
        <w:adjustRightInd w:val="0"/>
        <w:snapToGrid w:val="0"/>
        <w:spacing w:line="240" w:lineRule="atLeast"/>
        <w:rPr>
          <w:rFonts w:ascii="宋体" w:hAnsi="宋体"/>
          <w:b/>
          <w:sz w:val="24"/>
        </w:rPr>
      </w:pPr>
      <w:r>
        <w:rPr>
          <w:rFonts w:hint="eastAsia" w:ascii="宋体" w:hAnsi="宋体"/>
          <w:b/>
          <w:sz w:val="24"/>
        </w:rPr>
        <w:t xml:space="preserve"> 附件5：</w:t>
      </w:r>
    </w:p>
    <w:tbl>
      <w:tblPr>
        <w:tblStyle w:val="3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62" w:hRule="atLeast"/>
        </w:trPr>
        <w:tc>
          <w:tcPr>
            <w:tcW w:w="8931" w:type="dxa"/>
            <w:gridSpan w:val="2"/>
            <w:noWrap w:val="0"/>
            <w:vAlign w:val="top"/>
          </w:tcPr>
          <w:p>
            <w:pPr>
              <w:spacing w:line="240" w:lineRule="atLeast"/>
              <w:jc w:val="center"/>
              <w:rPr>
                <w:rFonts w:ascii="宋体" w:hAnsi="宋体"/>
                <w:szCs w:val="21"/>
              </w:rPr>
            </w:pPr>
            <w:r>
              <w:rPr>
                <w:rFonts w:hint="eastAsia" w:ascii="宋体" w:hAnsi="宋体"/>
                <w:b/>
                <w:szCs w:val="21"/>
              </w:rPr>
              <w:t>投资者风险承受能力评估结果告知书（一式两份）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61" w:hRule="atLeast"/>
        </w:trPr>
        <w:tc>
          <w:tcPr>
            <w:tcW w:w="8931" w:type="dxa"/>
            <w:gridSpan w:val="2"/>
            <w:noWrap w:val="0"/>
            <w:vAlign w:val="center"/>
          </w:tcPr>
          <w:p>
            <w:pPr>
              <w:spacing w:line="240" w:lineRule="atLeast"/>
              <w:jc w:val="center"/>
              <w:rPr>
                <w:rFonts w:ascii="宋体" w:hAnsi="宋体"/>
                <w:b/>
                <w:szCs w:val="21"/>
              </w:rPr>
            </w:pPr>
            <w:r>
              <w:rPr>
                <w:rFonts w:hint="eastAsia" w:ascii="宋体" w:hAnsi="宋体"/>
                <w:b/>
                <w:szCs w:val="21"/>
              </w:rPr>
              <w:t>提示：本表由证券经营机构填写，证券经营机构和投资者双方各自留存。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984" w:hRule="atLeast"/>
        </w:trPr>
        <w:tc>
          <w:tcPr>
            <w:tcW w:w="851" w:type="dxa"/>
            <w:noWrap w:val="0"/>
            <w:vAlign w:val="center"/>
          </w:tcPr>
          <w:p>
            <w:pPr>
              <w:spacing w:line="240" w:lineRule="atLeast"/>
              <w:jc w:val="center"/>
              <w:rPr>
                <w:rFonts w:hint="eastAsia" w:ascii="宋体" w:hAnsi="宋体"/>
                <w:b/>
                <w:szCs w:val="21"/>
              </w:rPr>
            </w:pPr>
            <w:r>
              <w:rPr>
                <w:rFonts w:hint="eastAsia" w:ascii="宋体" w:hAnsi="宋体"/>
                <w:b/>
                <w:szCs w:val="21"/>
              </w:rPr>
              <w:t>投</w:t>
            </w:r>
          </w:p>
          <w:p>
            <w:pPr>
              <w:spacing w:line="240" w:lineRule="atLeast"/>
              <w:jc w:val="center"/>
              <w:rPr>
                <w:rFonts w:hint="eastAsia" w:ascii="宋体" w:hAnsi="宋体"/>
                <w:b/>
                <w:szCs w:val="21"/>
              </w:rPr>
            </w:pPr>
            <w:r>
              <w:rPr>
                <w:rFonts w:hint="eastAsia" w:ascii="宋体" w:hAnsi="宋体"/>
                <w:b/>
                <w:szCs w:val="21"/>
              </w:rPr>
              <w:t>资</w:t>
            </w:r>
          </w:p>
          <w:p>
            <w:pPr>
              <w:spacing w:line="240" w:lineRule="atLeast"/>
              <w:jc w:val="center"/>
              <w:rPr>
                <w:rFonts w:ascii="宋体" w:hAnsi="宋体"/>
                <w:b/>
                <w:szCs w:val="21"/>
              </w:rPr>
            </w:pPr>
            <w:r>
              <w:rPr>
                <w:rFonts w:hint="eastAsia" w:ascii="宋体" w:hAnsi="宋体"/>
                <w:b/>
                <w:szCs w:val="21"/>
              </w:rPr>
              <w:t>者</w:t>
            </w:r>
          </w:p>
          <w:p>
            <w:pPr>
              <w:spacing w:line="240" w:lineRule="atLeast"/>
              <w:jc w:val="center"/>
              <w:rPr>
                <w:rFonts w:ascii="宋体" w:hAnsi="宋体"/>
                <w:b/>
                <w:szCs w:val="21"/>
              </w:rPr>
            </w:pPr>
            <w:r>
              <w:rPr>
                <w:rFonts w:hint="eastAsia" w:ascii="宋体" w:hAnsi="宋体"/>
                <w:b/>
                <w:szCs w:val="21"/>
              </w:rPr>
              <w:t>留</w:t>
            </w:r>
          </w:p>
          <w:p>
            <w:pPr>
              <w:spacing w:line="240" w:lineRule="atLeast"/>
              <w:jc w:val="center"/>
              <w:rPr>
                <w:rFonts w:ascii="宋体" w:hAnsi="宋体"/>
                <w:szCs w:val="21"/>
              </w:rPr>
            </w:pPr>
            <w:r>
              <w:rPr>
                <w:rFonts w:hint="eastAsia" w:ascii="宋体" w:hAnsi="宋体"/>
                <w:b/>
                <w:szCs w:val="21"/>
              </w:rPr>
              <w:t>存</w:t>
            </w:r>
          </w:p>
        </w:tc>
        <w:tc>
          <w:tcPr>
            <w:tcW w:w="8080" w:type="dxa"/>
            <w:noWrap w:val="0"/>
            <w:vAlign w:val="top"/>
          </w:tcPr>
          <w:p>
            <w:pPr>
              <w:spacing w:line="240" w:lineRule="atLeast"/>
              <w:textAlignment w:val="baseline"/>
              <w:rPr>
                <w:rFonts w:ascii="宋体" w:hAnsi="宋体"/>
                <w:szCs w:val="21"/>
              </w:rPr>
            </w:pPr>
            <w:r>
              <w:rPr>
                <w:rFonts w:hint="eastAsia" w:ascii="宋体" w:hAnsi="宋体"/>
                <w:szCs w:val="21"/>
              </w:rPr>
              <w:t>尊敬的投资者（姓名/名称：__________ 资金账号：____________________）：</w:t>
            </w:r>
          </w:p>
          <w:p>
            <w:pPr>
              <w:spacing w:line="240" w:lineRule="atLeast"/>
              <w:ind w:firstLine="403" w:firstLineChars="192"/>
              <w:textAlignment w:val="baseline"/>
              <w:rPr>
                <w:rFonts w:ascii="宋体" w:hAnsi="宋体"/>
                <w:szCs w:val="21"/>
              </w:rPr>
            </w:pPr>
            <w:r>
              <w:rPr>
                <w:rFonts w:hint="eastAsia" w:ascii="宋体" w:hAnsi="宋体"/>
                <w:szCs w:val="21"/>
              </w:rPr>
              <w:t>根据您填写的《投资者风险承受能力问卷》，本公司对您的风险承受能力进行了综合评估，现得到评估结果如下：</w:t>
            </w:r>
          </w:p>
          <w:p>
            <w:pPr>
              <w:spacing w:line="240" w:lineRule="atLeast"/>
              <w:ind w:firstLine="420" w:firstLineChars="200"/>
              <w:textAlignment w:val="baseline"/>
              <w:rPr>
                <w:rFonts w:ascii="宋体" w:hAnsi="宋体"/>
                <w:szCs w:val="21"/>
              </w:rPr>
            </w:pPr>
            <w:r>
              <w:rPr>
                <w:rFonts w:hint="eastAsia" w:ascii="宋体" w:hAnsi="宋体"/>
                <w:szCs w:val="21"/>
              </w:rPr>
              <w:t>您的风险承受能力为：______________________（根据公司风险承受能力等级划分填写，例如：□C1（含风险承受能力最低类别的投资者）□C1(不含风险承受能力最低类别的投资者) □C2□C3□C4□C5）</w:t>
            </w:r>
          </w:p>
          <w:p>
            <w:pPr>
              <w:spacing w:line="240" w:lineRule="atLeast"/>
              <w:ind w:firstLine="404" w:firstLineChars="192"/>
              <w:textAlignment w:val="baseline"/>
              <w:rPr>
                <w:rFonts w:ascii="宋体" w:hAnsi="宋体"/>
                <w:b/>
                <w:szCs w:val="21"/>
              </w:rPr>
            </w:pPr>
            <w:r>
              <w:rPr>
                <w:rFonts w:hint="eastAsia" w:ascii="宋体" w:hAnsi="宋体"/>
                <w:b/>
                <w:szCs w:val="21"/>
              </w:rPr>
              <w:t>本公司在此郑重提醒，本公司向您销售的产品或提供的服务将以您的风险承受能力等级为基础，若您提供的信息发生任何重大变化，您都应当及时书面通知本公司。本公司建议您审慎评判自身风险承受能力、结合自身投资行为，作出审慎的投资判断。</w:t>
            </w:r>
          </w:p>
          <w:p>
            <w:pPr>
              <w:spacing w:line="240" w:lineRule="atLeast"/>
              <w:ind w:firstLine="404" w:firstLineChars="192"/>
              <w:textAlignment w:val="baseline"/>
              <w:rPr>
                <w:rFonts w:ascii="宋体" w:hAnsi="宋体"/>
                <w:szCs w:val="21"/>
              </w:rPr>
            </w:pPr>
            <w:r>
              <w:rPr>
                <w:rFonts w:hint="eastAsia" w:ascii="宋体" w:hAnsi="宋体"/>
                <w:b/>
                <w:szCs w:val="21"/>
              </w:rPr>
              <w:t>如您在审慎考虑后同意本公司的评估结果，请认真阅读下列内容，并签字以示同意</w:t>
            </w:r>
            <w:r>
              <w:rPr>
                <w:rFonts w:hint="eastAsia" w:ascii="宋体" w:hAnsi="宋体"/>
                <w:szCs w:val="21"/>
              </w:rPr>
              <w:t>。</w:t>
            </w:r>
          </w:p>
          <w:p>
            <w:pPr>
              <w:spacing w:line="240" w:lineRule="atLeast"/>
              <w:textAlignment w:val="baseline"/>
              <w:rPr>
                <w:rFonts w:ascii="宋体" w:hAnsi="宋体"/>
                <w:szCs w:val="21"/>
              </w:rPr>
            </w:pPr>
          </w:p>
          <w:p>
            <w:pPr>
              <w:spacing w:line="240" w:lineRule="atLeast"/>
              <w:textAlignment w:val="baseline"/>
              <w:rPr>
                <w:rFonts w:ascii="宋体" w:hAnsi="宋体"/>
                <w:szCs w:val="21"/>
              </w:rPr>
            </w:pPr>
            <w:r>
              <w:rPr>
                <w:rFonts w:hint="eastAsia" w:ascii="宋体" w:hAnsi="宋体"/>
                <w:szCs w:val="21"/>
              </w:rPr>
              <w:t xml:space="preserve">                                             XX公司XX营业网点</w:t>
            </w:r>
          </w:p>
          <w:p>
            <w:pPr>
              <w:spacing w:line="240" w:lineRule="atLeast"/>
              <w:ind w:right="420"/>
              <w:jc w:val="center"/>
              <w:textAlignment w:val="baseline"/>
              <w:rPr>
                <w:rFonts w:ascii="宋体" w:hAnsi="宋体"/>
                <w:szCs w:val="21"/>
              </w:rPr>
            </w:pPr>
            <w:r>
              <w:rPr>
                <w:rFonts w:hint="eastAsia" w:ascii="宋体" w:hAnsi="宋体"/>
                <w:szCs w:val="21"/>
              </w:rPr>
              <w:t xml:space="preserve">                               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933" w:hRule="atLeast"/>
        </w:trPr>
        <w:tc>
          <w:tcPr>
            <w:tcW w:w="851" w:type="dxa"/>
            <w:noWrap w:val="0"/>
            <w:vAlign w:val="center"/>
          </w:tcPr>
          <w:p>
            <w:pPr>
              <w:spacing w:line="240" w:lineRule="atLeast"/>
              <w:jc w:val="center"/>
              <w:rPr>
                <w:rFonts w:ascii="宋体" w:hAnsi="宋体"/>
                <w:b/>
                <w:szCs w:val="21"/>
              </w:rPr>
            </w:pPr>
            <w:r>
              <w:rPr>
                <w:rFonts w:hint="eastAsia" w:ascii="宋体" w:hAnsi="宋体"/>
                <w:b/>
                <w:szCs w:val="21"/>
              </w:rPr>
              <w:t>证</w:t>
            </w:r>
          </w:p>
          <w:p>
            <w:pPr>
              <w:spacing w:line="240" w:lineRule="atLeast"/>
              <w:jc w:val="center"/>
              <w:rPr>
                <w:rFonts w:ascii="宋体" w:hAnsi="宋体"/>
                <w:b/>
                <w:szCs w:val="21"/>
              </w:rPr>
            </w:pPr>
            <w:r>
              <w:rPr>
                <w:rFonts w:hint="eastAsia" w:ascii="宋体" w:hAnsi="宋体"/>
                <w:b/>
                <w:szCs w:val="21"/>
              </w:rPr>
              <w:t>券</w:t>
            </w:r>
          </w:p>
          <w:p>
            <w:pPr>
              <w:spacing w:line="240" w:lineRule="atLeast"/>
              <w:jc w:val="center"/>
              <w:rPr>
                <w:rFonts w:hint="eastAsia" w:ascii="宋体" w:hAnsi="宋体"/>
                <w:b/>
                <w:szCs w:val="21"/>
              </w:rPr>
            </w:pPr>
            <w:r>
              <w:rPr>
                <w:rFonts w:hint="eastAsia" w:ascii="宋体" w:hAnsi="宋体"/>
                <w:b/>
                <w:szCs w:val="21"/>
              </w:rPr>
              <w:t>经</w:t>
            </w:r>
          </w:p>
          <w:p>
            <w:pPr>
              <w:spacing w:line="240" w:lineRule="atLeast"/>
              <w:jc w:val="center"/>
              <w:rPr>
                <w:rFonts w:hint="eastAsia" w:ascii="宋体" w:hAnsi="宋体"/>
                <w:b/>
                <w:szCs w:val="21"/>
              </w:rPr>
            </w:pPr>
            <w:r>
              <w:rPr>
                <w:rFonts w:hint="eastAsia" w:ascii="宋体" w:hAnsi="宋体"/>
                <w:b/>
                <w:szCs w:val="21"/>
              </w:rPr>
              <w:t>营</w:t>
            </w:r>
          </w:p>
          <w:p>
            <w:pPr>
              <w:spacing w:line="240" w:lineRule="atLeast"/>
              <w:jc w:val="center"/>
              <w:rPr>
                <w:rFonts w:hint="eastAsia" w:ascii="宋体" w:hAnsi="宋体"/>
                <w:b/>
                <w:szCs w:val="21"/>
              </w:rPr>
            </w:pPr>
            <w:r>
              <w:rPr>
                <w:rFonts w:hint="eastAsia" w:ascii="宋体" w:hAnsi="宋体"/>
                <w:b/>
                <w:szCs w:val="21"/>
              </w:rPr>
              <w:t>机</w:t>
            </w:r>
          </w:p>
          <w:p>
            <w:pPr>
              <w:spacing w:line="240" w:lineRule="atLeast"/>
              <w:jc w:val="center"/>
              <w:rPr>
                <w:rFonts w:ascii="宋体" w:hAnsi="宋体"/>
                <w:b/>
                <w:szCs w:val="21"/>
              </w:rPr>
            </w:pPr>
            <w:r>
              <w:rPr>
                <w:rFonts w:hint="eastAsia" w:ascii="宋体" w:hAnsi="宋体"/>
                <w:b/>
                <w:szCs w:val="21"/>
              </w:rPr>
              <w:t>构</w:t>
            </w:r>
          </w:p>
          <w:p>
            <w:pPr>
              <w:spacing w:line="240" w:lineRule="atLeast"/>
              <w:jc w:val="center"/>
              <w:rPr>
                <w:rFonts w:ascii="宋体" w:hAnsi="宋体"/>
                <w:b/>
                <w:szCs w:val="21"/>
              </w:rPr>
            </w:pPr>
            <w:r>
              <w:rPr>
                <w:rFonts w:hint="eastAsia" w:ascii="宋体" w:hAnsi="宋体"/>
                <w:b/>
                <w:szCs w:val="21"/>
              </w:rPr>
              <w:t>留</w:t>
            </w:r>
          </w:p>
          <w:p>
            <w:pPr>
              <w:spacing w:line="240" w:lineRule="atLeast"/>
              <w:jc w:val="center"/>
              <w:rPr>
                <w:rFonts w:ascii="宋体" w:hAnsi="宋体"/>
                <w:szCs w:val="21"/>
              </w:rPr>
            </w:pPr>
            <w:r>
              <w:rPr>
                <w:rFonts w:hint="eastAsia" w:ascii="宋体" w:hAnsi="宋体"/>
                <w:b/>
                <w:szCs w:val="21"/>
              </w:rPr>
              <w:t>存</w:t>
            </w:r>
          </w:p>
        </w:tc>
        <w:tc>
          <w:tcPr>
            <w:tcW w:w="8080" w:type="dxa"/>
            <w:noWrap w:val="0"/>
            <w:vAlign w:val="top"/>
          </w:tcPr>
          <w:p>
            <w:pPr>
              <w:spacing w:line="240" w:lineRule="atLeast"/>
              <w:textAlignment w:val="baseline"/>
              <w:rPr>
                <w:rFonts w:ascii="宋体" w:hAnsi="宋体"/>
                <w:szCs w:val="21"/>
              </w:rPr>
            </w:pPr>
            <w:r>
              <w:rPr>
                <w:rFonts w:hint="eastAsia" w:ascii="宋体" w:hAnsi="宋体"/>
                <w:szCs w:val="21"/>
              </w:rPr>
              <w:t>XX公司**营业网点：</w:t>
            </w:r>
          </w:p>
          <w:p>
            <w:pPr>
              <w:spacing w:line="240" w:lineRule="atLeast"/>
              <w:textAlignment w:val="baseline"/>
              <w:rPr>
                <w:rFonts w:ascii="宋体" w:hAnsi="宋体"/>
                <w:szCs w:val="21"/>
              </w:rPr>
            </w:pPr>
            <w:r>
              <w:rPr>
                <w:rFonts w:hint="eastAsia" w:ascii="宋体" w:hAnsi="宋体"/>
                <w:szCs w:val="21"/>
              </w:rPr>
              <w:t xml:space="preserve">    本人（机构）在贵公司的提醒下，已经审慎考虑自身的风险承受能力在此确认：</w:t>
            </w:r>
          </w:p>
          <w:p>
            <w:pPr>
              <w:spacing w:line="240" w:lineRule="atLeast"/>
              <w:ind w:firstLine="420"/>
              <w:textAlignment w:val="baseline"/>
              <w:rPr>
                <w:rFonts w:ascii="宋体" w:hAnsi="宋体"/>
                <w:szCs w:val="21"/>
              </w:rPr>
            </w:pPr>
            <w:r>
              <w:rPr>
                <w:rFonts w:hint="eastAsia" w:ascii="宋体" w:hAnsi="宋体"/>
                <w:szCs w:val="21"/>
              </w:rPr>
              <w:t>本人（机构）的风险承受能力为：__________________（根据公司风险承受能力等级划分填写，例如：□C1（含风险承受能力最低类别的投资者）□C1(不含风险承受能力最低类别的投资者) □C2□C3□C4□C5）</w:t>
            </w:r>
          </w:p>
          <w:p>
            <w:pPr>
              <w:spacing w:line="240" w:lineRule="atLeast"/>
              <w:ind w:firstLine="420"/>
              <w:textAlignment w:val="baseline"/>
              <w:rPr>
                <w:rFonts w:ascii="宋体" w:hAnsi="宋体"/>
                <w:szCs w:val="21"/>
              </w:rPr>
            </w:pPr>
          </w:p>
          <w:p>
            <w:pPr>
              <w:spacing w:line="240" w:lineRule="atLeast"/>
              <w:textAlignment w:val="baseline"/>
              <w:rPr>
                <w:rFonts w:ascii="宋体" w:hAnsi="宋体"/>
                <w:szCs w:val="21"/>
              </w:rPr>
            </w:pPr>
            <w:r>
              <w:rPr>
                <w:rFonts w:hint="eastAsia" w:ascii="宋体" w:hAnsi="宋体"/>
                <w:szCs w:val="21"/>
              </w:rPr>
              <w:t xml:space="preserve">    </w:t>
            </w:r>
            <w:r>
              <w:rPr>
                <w:rFonts w:hint="eastAsia" w:ascii="宋体" w:hAnsi="宋体"/>
                <w:b/>
                <w:szCs w:val="21"/>
              </w:rPr>
              <w:t>本人（机构）经贵公司提醒，已充分知晓贵公司向本人（机构）销售的产品或提供的服务将以本人（机构）此次确认的风险承受能力等级为基础。若本人（机构）提供的信息发生任何重大变化，本人（机构）都会及时书面通知贵公司。本确认书系本人（机构）独立、自主、真实的意思表示，特此确认。</w:t>
            </w:r>
          </w:p>
          <w:p>
            <w:pPr>
              <w:spacing w:line="240" w:lineRule="atLeast"/>
              <w:textAlignment w:val="baseline"/>
              <w:rPr>
                <w:rFonts w:ascii="宋体" w:hAnsi="宋体"/>
                <w:szCs w:val="21"/>
              </w:rPr>
            </w:pPr>
          </w:p>
          <w:p>
            <w:pPr>
              <w:spacing w:line="240" w:lineRule="atLeast"/>
              <w:textAlignment w:val="baseline"/>
              <w:rPr>
                <w:rFonts w:ascii="宋体" w:hAnsi="宋体"/>
                <w:szCs w:val="21"/>
              </w:rPr>
            </w:pPr>
            <w:r>
              <w:rPr>
                <w:rFonts w:hint="eastAsia" w:ascii="宋体" w:hAnsi="宋体"/>
                <w:szCs w:val="21"/>
              </w:rPr>
              <w:t xml:space="preserve">                               投资者确认签章：            </w:t>
            </w:r>
          </w:p>
          <w:p>
            <w:pPr>
              <w:spacing w:line="240" w:lineRule="atLeast"/>
              <w:ind w:firstLine="403" w:firstLineChars="192"/>
              <w:rPr>
                <w:rFonts w:ascii="宋体" w:hAnsi="宋体"/>
                <w:szCs w:val="21"/>
              </w:rPr>
            </w:pPr>
            <w:r>
              <w:rPr>
                <w:rFonts w:hint="eastAsia" w:ascii="宋体" w:hAnsi="宋体"/>
                <w:szCs w:val="21"/>
              </w:rPr>
              <w:t xml:space="preserve">                           签署日期：   </w:t>
            </w:r>
          </w:p>
        </w:tc>
      </w:tr>
    </w:tbl>
    <w:p>
      <w:pPr>
        <w:rPr>
          <w:rFonts w:ascii="宋体" w:hAnsi="宋体"/>
          <w:b/>
          <w:sz w:val="24"/>
        </w:rPr>
      </w:pPr>
    </w:p>
    <w:p>
      <w:pPr>
        <w:rPr>
          <w:rFonts w:ascii="宋体" w:hAnsi="宋体"/>
          <w:b/>
          <w:sz w:val="24"/>
        </w:rPr>
      </w:pPr>
      <w:r>
        <w:rPr>
          <w:rFonts w:hint="eastAsia" w:ascii="宋体" w:hAnsi="宋体"/>
          <w:b/>
          <w:sz w:val="24"/>
        </w:rPr>
        <w:t>附件6：</w:t>
      </w:r>
    </w:p>
    <w:p>
      <w:pPr>
        <w:adjustRightInd w:val="0"/>
        <w:snapToGrid w:val="0"/>
        <w:spacing w:after="240" w:line="360" w:lineRule="auto"/>
        <w:jc w:val="center"/>
        <w:rPr>
          <w:rFonts w:ascii="宋体" w:hAnsi="宋体"/>
          <w:b/>
          <w:color w:val="000000"/>
          <w:szCs w:val="21"/>
        </w:rPr>
      </w:pPr>
      <w:r>
        <w:rPr>
          <w:rFonts w:hint="eastAsia" w:ascii="宋体" w:hAnsi="宋体"/>
          <w:b/>
          <w:color w:val="000000"/>
          <w:szCs w:val="21"/>
        </w:rPr>
        <w:t>《</w:t>
      </w:r>
      <w:r>
        <w:rPr>
          <w:rFonts w:ascii="宋体" w:hAnsi="宋体"/>
          <w:b/>
          <w:color w:val="000000"/>
          <w:szCs w:val="21"/>
        </w:rPr>
        <w:t>产品或服务风险等级名录</w:t>
      </w:r>
      <w:r>
        <w:rPr>
          <w:rFonts w:hint="eastAsia" w:ascii="宋体" w:hAnsi="宋体"/>
          <w:b/>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为有效指引证券经营机构对产品或服务进行风险分级，依据《证券期货投资者适当性管理办法》第三十六条制定本名录。</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证券经营机构应参考本名录并依据《办法》第十六条、第十七条规定细化本机构的产品或服务风险等级评价标准，科学有效评估产品或服务的风险等级，并根据法律法规、监管规定以及信用风险、市场风险、操作风险、流动性风险等方面的变化及时调整产品或服务的风险等级。</w:t>
      </w:r>
    </w:p>
    <w:p>
      <w:pPr>
        <w:adjustRightInd w:val="0"/>
        <w:snapToGrid w:val="0"/>
        <w:spacing w:line="360" w:lineRule="auto"/>
        <w:ind w:firstLine="420" w:firstLineChars="200"/>
        <w:rPr>
          <w:rFonts w:ascii="宋体" w:hAnsi="宋体"/>
          <w:color w:val="000000"/>
          <w:szCs w:val="21"/>
        </w:rPr>
      </w:pPr>
    </w:p>
    <w:tbl>
      <w:tblPr>
        <w:tblStyle w:val="3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75" w:hRule="atLeast"/>
        </w:trPr>
        <w:tc>
          <w:tcPr>
            <w:tcW w:w="2127" w:type="dxa"/>
            <w:noWrap w:val="0"/>
            <w:vAlign w:val="top"/>
          </w:tcPr>
          <w:p>
            <w:pPr>
              <w:adjustRightInd w:val="0"/>
              <w:snapToGrid w:val="0"/>
              <w:spacing w:line="360" w:lineRule="auto"/>
              <w:jc w:val="center"/>
              <w:rPr>
                <w:rFonts w:ascii="宋体" w:hAnsi="宋体" w:cs="Calibri"/>
                <w:b/>
                <w:bCs/>
                <w:color w:val="000000"/>
                <w:szCs w:val="21"/>
              </w:rPr>
            </w:pPr>
            <w:r>
              <w:rPr>
                <w:rFonts w:hint="eastAsia" w:ascii="宋体" w:hAnsi="宋体"/>
                <w:b/>
                <w:bCs/>
                <w:color w:val="000000"/>
                <w:szCs w:val="21"/>
              </w:rPr>
              <w:t>风险等级</w:t>
            </w:r>
          </w:p>
        </w:tc>
        <w:tc>
          <w:tcPr>
            <w:tcW w:w="6804" w:type="dxa"/>
            <w:noWrap w:val="0"/>
            <w:vAlign w:val="top"/>
          </w:tcPr>
          <w:p>
            <w:pPr>
              <w:adjustRightInd w:val="0"/>
              <w:snapToGrid w:val="0"/>
              <w:spacing w:line="360" w:lineRule="auto"/>
              <w:jc w:val="center"/>
              <w:rPr>
                <w:rFonts w:ascii="宋体" w:hAnsi="宋体"/>
                <w:b/>
                <w:bCs/>
                <w:color w:val="000000"/>
                <w:szCs w:val="21"/>
              </w:rPr>
            </w:pPr>
            <w:r>
              <w:rPr>
                <w:rFonts w:hint="eastAsia" w:ascii="宋体" w:hAnsi="宋体"/>
                <w:b/>
                <w:bCs/>
                <w:color w:val="000000"/>
                <w:szCs w:val="21"/>
              </w:rPr>
              <w:t>特征描述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79" w:hRule="atLeast"/>
        </w:trPr>
        <w:tc>
          <w:tcPr>
            <w:tcW w:w="2127" w:type="dxa"/>
            <w:noWrap w:val="0"/>
            <w:vAlign w:val="top"/>
          </w:tcPr>
          <w:p>
            <w:pPr>
              <w:adjustRightInd w:val="0"/>
              <w:snapToGrid w:val="0"/>
              <w:spacing w:line="360" w:lineRule="auto"/>
              <w:jc w:val="center"/>
              <w:rPr>
                <w:rFonts w:ascii="宋体" w:hAnsi="宋体" w:cs="Calibri"/>
                <w:color w:val="000000"/>
                <w:szCs w:val="21"/>
              </w:rPr>
            </w:pPr>
            <w:r>
              <w:rPr>
                <w:rFonts w:hint="eastAsia" w:ascii="宋体" w:hAnsi="宋体"/>
                <w:color w:val="000000"/>
                <w:szCs w:val="21"/>
              </w:rPr>
              <w:t>R1</w:t>
            </w:r>
          </w:p>
        </w:tc>
        <w:tc>
          <w:tcPr>
            <w:tcW w:w="6804" w:type="dxa"/>
            <w:noWrap w:val="0"/>
            <w:vAlign w:val="top"/>
          </w:tcPr>
          <w:p>
            <w:pPr>
              <w:adjustRightInd w:val="0"/>
              <w:snapToGrid w:val="0"/>
              <w:spacing w:line="360" w:lineRule="auto"/>
              <w:rPr>
                <w:rFonts w:ascii="宋体" w:hAnsi="宋体"/>
                <w:color w:val="000000"/>
                <w:szCs w:val="21"/>
              </w:rPr>
            </w:pPr>
            <w:r>
              <w:rPr>
                <w:rFonts w:hint="eastAsia" w:ascii="宋体" w:hAnsi="宋体"/>
                <w:color w:val="000000"/>
                <w:szCs w:val="21"/>
              </w:rPr>
              <w:t>结构简单，容易理解，流动性高，本金遭受损失的可能性极低</w:t>
            </w:r>
          </w:p>
          <w:p>
            <w:pPr>
              <w:adjustRightInd w:val="0"/>
              <w:snapToGrid w:val="0"/>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26" w:hRule="atLeast"/>
        </w:trPr>
        <w:tc>
          <w:tcPr>
            <w:tcW w:w="2127" w:type="dxa"/>
            <w:noWrap w:val="0"/>
            <w:vAlign w:val="top"/>
          </w:tcPr>
          <w:p>
            <w:pPr>
              <w:adjustRightInd w:val="0"/>
              <w:snapToGrid w:val="0"/>
              <w:spacing w:line="360" w:lineRule="auto"/>
              <w:jc w:val="center"/>
              <w:rPr>
                <w:rFonts w:ascii="宋体" w:hAnsi="宋体" w:cs="Calibri"/>
                <w:color w:val="000000"/>
                <w:szCs w:val="21"/>
              </w:rPr>
            </w:pPr>
            <w:r>
              <w:rPr>
                <w:rFonts w:hint="eastAsia" w:ascii="宋体" w:hAnsi="宋体"/>
                <w:color w:val="000000"/>
                <w:szCs w:val="21"/>
              </w:rPr>
              <w:t>R2</w:t>
            </w:r>
          </w:p>
        </w:tc>
        <w:tc>
          <w:tcPr>
            <w:tcW w:w="6804" w:type="dxa"/>
            <w:noWrap w:val="0"/>
            <w:vAlign w:val="top"/>
          </w:tcPr>
          <w:p>
            <w:pPr>
              <w:adjustRightInd w:val="0"/>
              <w:snapToGrid w:val="0"/>
              <w:spacing w:line="360" w:lineRule="auto"/>
              <w:rPr>
                <w:rFonts w:ascii="宋体" w:hAnsi="宋体"/>
                <w:color w:val="000000"/>
                <w:szCs w:val="21"/>
              </w:rPr>
            </w:pPr>
            <w:r>
              <w:rPr>
                <w:rFonts w:hint="eastAsia" w:ascii="宋体" w:hAnsi="宋体"/>
                <w:color w:val="000000"/>
                <w:szCs w:val="21"/>
              </w:rPr>
              <w:t>结构简单，容易理解，流动性较高，本金遭受损失的可能性较低</w:t>
            </w:r>
          </w:p>
          <w:p>
            <w:pPr>
              <w:adjustRightInd w:val="0"/>
              <w:snapToGrid w:val="0"/>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26" w:hRule="atLeast"/>
        </w:trPr>
        <w:tc>
          <w:tcPr>
            <w:tcW w:w="2127" w:type="dxa"/>
            <w:noWrap w:val="0"/>
            <w:vAlign w:val="top"/>
          </w:tcPr>
          <w:p>
            <w:pPr>
              <w:adjustRightInd w:val="0"/>
              <w:snapToGrid w:val="0"/>
              <w:spacing w:line="360" w:lineRule="auto"/>
              <w:jc w:val="center"/>
              <w:rPr>
                <w:rFonts w:ascii="宋体" w:hAnsi="宋体" w:cs="Calibri"/>
                <w:color w:val="000000"/>
                <w:szCs w:val="21"/>
              </w:rPr>
            </w:pPr>
            <w:r>
              <w:rPr>
                <w:rFonts w:hint="eastAsia" w:ascii="宋体" w:hAnsi="宋体"/>
                <w:color w:val="000000"/>
                <w:szCs w:val="21"/>
              </w:rPr>
              <w:t>R3</w:t>
            </w:r>
          </w:p>
        </w:tc>
        <w:tc>
          <w:tcPr>
            <w:tcW w:w="6804" w:type="dxa"/>
            <w:noWrap w:val="0"/>
            <w:vAlign w:val="top"/>
          </w:tcPr>
          <w:p>
            <w:pPr>
              <w:adjustRightInd w:val="0"/>
              <w:snapToGrid w:val="0"/>
              <w:spacing w:line="360" w:lineRule="auto"/>
              <w:rPr>
                <w:rFonts w:ascii="宋体" w:hAnsi="宋体"/>
                <w:szCs w:val="21"/>
              </w:rPr>
            </w:pPr>
            <w:r>
              <w:rPr>
                <w:rFonts w:hint="eastAsia" w:ascii="宋体" w:hAnsi="宋体"/>
                <w:color w:val="000000"/>
                <w:szCs w:val="21"/>
              </w:rPr>
              <w:t>结构较复杂，流动性较高，本金安全具有一定的不确定性，在特殊情况下可能损失全部本金</w:t>
            </w:r>
          </w:p>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01" w:hRule="atLeast"/>
        </w:trPr>
        <w:tc>
          <w:tcPr>
            <w:tcW w:w="2127" w:type="dxa"/>
            <w:noWrap w:val="0"/>
            <w:vAlign w:val="top"/>
          </w:tcPr>
          <w:p>
            <w:pPr>
              <w:adjustRightInd w:val="0"/>
              <w:snapToGrid w:val="0"/>
              <w:spacing w:line="360" w:lineRule="auto"/>
              <w:jc w:val="center"/>
              <w:rPr>
                <w:rFonts w:ascii="宋体" w:hAnsi="宋体" w:cs="Calibri"/>
                <w:color w:val="000000"/>
                <w:szCs w:val="21"/>
              </w:rPr>
            </w:pPr>
            <w:r>
              <w:rPr>
                <w:rFonts w:hint="eastAsia" w:ascii="宋体" w:hAnsi="宋体"/>
                <w:color w:val="000000"/>
                <w:szCs w:val="21"/>
              </w:rPr>
              <w:t>R4</w:t>
            </w:r>
          </w:p>
        </w:tc>
        <w:tc>
          <w:tcPr>
            <w:tcW w:w="6804" w:type="dxa"/>
            <w:noWrap w:val="0"/>
            <w:vAlign w:val="top"/>
          </w:tcPr>
          <w:p>
            <w:pPr>
              <w:adjustRightInd w:val="0"/>
              <w:snapToGrid w:val="0"/>
              <w:spacing w:line="360" w:lineRule="auto"/>
              <w:rPr>
                <w:rFonts w:ascii="宋体" w:hAnsi="宋体"/>
                <w:szCs w:val="21"/>
              </w:rPr>
            </w:pPr>
            <w:r>
              <w:rPr>
                <w:rFonts w:hint="eastAsia" w:ascii="宋体" w:hAnsi="宋体"/>
                <w:color w:val="000000"/>
                <w:szCs w:val="21"/>
              </w:rPr>
              <w:t>结构复杂，流动性较低，本金安全面临较大的不确定性，可能损失全部本金</w:t>
            </w:r>
          </w:p>
          <w:p>
            <w:pPr>
              <w:adjustRightInd w:val="0"/>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44" w:hRule="atLeast"/>
        </w:trPr>
        <w:tc>
          <w:tcPr>
            <w:tcW w:w="2127" w:type="dxa"/>
            <w:noWrap w:val="0"/>
            <w:vAlign w:val="top"/>
          </w:tcPr>
          <w:p>
            <w:pPr>
              <w:adjustRightInd w:val="0"/>
              <w:snapToGrid w:val="0"/>
              <w:spacing w:line="360" w:lineRule="auto"/>
              <w:jc w:val="center"/>
              <w:rPr>
                <w:rFonts w:ascii="宋体" w:hAnsi="宋体" w:cs="Calibri"/>
                <w:color w:val="000000"/>
                <w:szCs w:val="21"/>
              </w:rPr>
            </w:pPr>
            <w:r>
              <w:rPr>
                <w:rFonts w:hint="eastAsia" w:ascii="宋体" w:hAnsi="宋体"/>
                <w:color w:val="000000"/>
                <w:szCs w:val="21"/>
              </w:rPr>
              <w:t>R5</w:t>
            </w:r>
          </w:p>
        </w:tc>
        <w:tc>
          <w:tcPr>
            <w:tcW w:w="6804" w:type="dxa"/>
            <w:noWrap w:val="0"/>
            <w:vAlign w:val="top"/>
          </w:tcPr>
          <w:p>
            <w:pPr>
              <w:adjustRightInd w:val="0"/>
              <w:snapToGrid w:val="0"/>
              <w:spacing w:line="360" w:lineRule="auto"/>
              <w:rPr>
                <w:rFonts w:ascii="宋体" w:hAnsi="宋体"/>
                <w:color w:val="000000"/>
                <w:szCs w:val="21"/>
              </w:rPr>
            </w:pPr>
            <w:r>
              <w:rPr>
                <w:rFonts w:hint="eastAsia" w:ascii="宋体" w:hAnsi="宋体"/>
                <w:color w:val="000000"/>
                <w:szCs w:val="21"/>
              </w:rPr>
              <w:t>结构复杂，不易理解，不易估值、流动性低、透明度较低，本金安全面临极大的不确定性，甚至损失可能超过本金</w:t>
            </w:r>
          </w:p>
          <w:p>
            <w:pPr>
              <w:adjustRightInd w:val="0"/>
              <w:snapToGrid w:val="0"/>
              <w:spacing w:line="360" w:lineRule="auto"/>
              <w:rPr>
                <w:rFonts w:ascii="宋体" w:hAnsi="宋体"/>
                <w:color w:val="000000"/>
                <w:szCs w:val="21"/>
              </w:rPr>
            </w:pPr>
          </w:p>
        </w:tc>
      </w:tr>
    </w:tbl>
    <w:p>
      <w:pPr>
        <w:spacing w:line="240" w:lineRule="atLeast"/>
        <w:rPr>
          <w:rFonts w:ascii="宋体" w:hAnsi="宋体"/>
          <w:color w:val="000000"/>
          <w:szCs w:val="21"/>
        </w:rPr>
      </w:pPr>
    </w:p>
    <w:p/>
    <w:p>
      <w:pPr>
        <w:spacing w:line="240" w:lineRule="atLeast"/>
        <w:rPr>
          <w:rFonts w:hint="eastAsia" w:ascii="宋体" w:hAnsi="宋体"/>
          <w:color w:val="000000"/>
          <w:szCs w:val="21"/>
        </w:rPr>
      </w:pPr>
    </w:p>
    <w:p>
      <w:pPr>
        <w:spacing w:line="240" w:lineRule="atLeast"/>
        <w:rPr>
          <w:rFonts w:hint="eastAsia" w:ascii="宋体" w:hAnsi="宋体"/>
          <w:color w:val="000000"/>
          <w:szCs w:val="21"/>
        </w:rPr>
      </w:pPr>
    </w:p>
    <w:p>
      <w:pPr>
        <w:spacing w:line="240" w:lineRule="atLeast"/>
        <w:rPr>
          <w:rFonts w:hint="eastAsia" w:ascii="宋体" w:hAnsi="宋体"/>
          <w:color w:val="000000"/>
          <w:szCs w:val="21"/>
        </w:rPr>
      </w:pPr>
    </w:p>
    <w:p>
      <w:pPr>
        <w:spacing w:line="240" w:lineRule="atLeast"/>
        <w:rPr>
          <w:rFonts w:hint="eastAsia" w:ascii="宋体" w:hAnsi="宋体"/>
          <w:color w:val="000000"/>
          <w:szCs w:val="21"/>
        </w:rPr>
      </w:pPr>
    </w:p>
    <w:p>
      <w:pPr>
        <w:spacing w:line="240" w:lineRule="atLeast"/>
        <w:rPr>
          <w:rFonts w:hint="eastAsia" w:ascii="宋体" w:hAnsi="宋体"/>
          <w:color w:val="000000"/>
          <w:szCs w:val="21"/>
        </w:rPr>
      </w:pPr>
    </w:p>
    <w:p>
      <w:pPr>
        <w:spacing w:line="240" w:lineRule="atLeast"/>
        <w:rPr>
          <w:rFonts w:hint="eastAsia" w:ascii="宋体" w:hAnsi="宋体"/>
          <w:color w:val="000000"/>
          <w:szCs w:val="21"/>
        </w:rPr>
      </w:pPr>
    </w:p>
    <w:p>
      <w:pPr>
        <w:spacing w:line="240" w:lineRule="atLeast"/>
        <w:rPr>
          <w:rFonts w:hint="eastAsia" w:ascii="宋体" w:hAnsi="宋体"/>
          <w:color w:val="000000"/>
          <w:szCs w:val="21"/>
        </w:rPr>
      </w:pPr>
    </w:p>
    <w:p>
      <w:pPr>
        <w:spacing w:line="240" w:lineRule="atLeast"/>
        <w:rPr>
          <w:rFonts w:hint="eastAsia" w:ascii="宋体" w:hAnsi="宋体"/>
          <w:color w:val="000000"/>
          <w:szCs w:val="21"/>
        </w:rPr>
      </w:pPr>
    </w:p>
    <w:p>
      <w:pPr>
        <w:spacing w:line="240" w:lineRule="atLeast"/>
        <w:rPr>
          <w:rFonts w:hint="eastAsia" w:ascii="宋体" w:hAnsi="宋体"/>
          <w:color w:val="000000"/>
          <w:szCs w:val="21"/>
        </w:rPr>
      </w:pPr>
    </w:p>
    <w:p>
      <w:pPr>
        <w:spacing w:line="240" w:lineRule="atLeast"/>
        <w:rPr>
          <w:rFonts w:hint="eastAsia" w:ascii="宋体" w:hAnsi="宋体"/>
          <w:color w:val="000000"/>
          <w:szCs w:val="21"/>
        </w:rPr>
      </w:pPr>
    </w:p>
    <w:p>
      <w:pPr>
        <w:spacing w:line="240" w:lineRule="atLeast"/>
        <w:rPr>
          <w:rFonts w:hint="eastAsia" w:ascii="宋体" w:hAnsi="宋体"/>
          <w:color w:val="000000"/>
          <w:szCs w:val="21"/>
        </w:rPr>
      </w:pPr>
    </w:p>
    <w:p>
      <w:pPr>
        <w:spacing w:line="240" w:lineRule="atLeast"/>
        <w:jc w:val="left"/>
        <w:rPr>
          <w:rFonts w:ascii="宋体" w:hAnsi="宋体"/>
          <w:b/>
          <w:sz w:val="24"/>
        </w:rPr>
      </w:pPr>
      <w:r>
        <w:rPr>
          <w:rFonts w:hint="eastAsia" w:ascii="宋体" w:hAnsi="宋体"/>
          <w:b/>
          <w:sz w:val="24"/>
        </w:rPr>
        <w:t>附件7：</w:t>
      </w:r>
    </w:p>
    <w:p>
      <w:pPr>
        <w:spacing w:line="240" w:lineRule="atLeast"/>
        <w:jc w:val="center"/>
        <w:rPr>
          <w:rFonts w:ascii="宋体" w:hAnsi="宋体"/>
          <w:b/>
          <w:sz w:val="24"/>
        </w:rPr>
      </w:pPr>
      <w:r>
        <w:rPr>
          <w:rFonts w:hint="eastAsia" w:ascii="宋体" w:hAnsi="宋体"/>
          <w:b/>
          <w:sz w:val="24"/>
        </w:rPr>
        <w:t>适当性匹配意见及投资者确认书（一式两份）</w:t>
      </w:r>
    </w:p>
    <w:tbl>
      <w:tblPr>
        <w:tblStyle w:val="3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1134" w:hRule="atLeast"/>
        </w:trPr>
        <w:tc>
          <w:tcPr>
            <w:tcW w:w="1277" w:type="dxa"/>
            <w:noWrap w:val="0"/>
            <w:textDirection w:val="tbRlV"/>
            <w:vAlign w:val="top"/>
          </w:tcPr>
          <w:p>
            <w:pPr>
              <w:snapToGrid w:val="0"/>
              <w:spacing w:line="240" w:lineRule="atLeast"/>
              <w:ind w:left="113" w:right="113"/>
              <w:rPr>
                <w:rFonts w:ascii="宋体" w:hAnsi="宋体"/>
                <w:szCs w:val="21"/>
              </w:rPr>
            </w:pPr>
          </w:p>
          <w:p>
            <w:pPr>
              <w:snapToGrid w:val="0"/>
              <w:spacing w:line="240" w:lineRule="atLeast"/>
              <w:ind w:left="113" w:leftChars="54" w:right="113" w:firstLine="927" w:firstLineChars="441"/>
              <w:rPr>
                <w:rFonts w:ascii="宋体" w:hAnsi="宋体"/>
                <w:b/>
                <w:szCs w:val="21"/>
              </w:rPr>
            </w:pPr>
            <w:r>
              <w:rPr>
                <w:rFonts w:hint="eastAsia" w:ascii="宋体" w:hAnsi="宋体"/>
                <w:b/>
                <w:szCs w:val="21"/>
              </w:rPr>
              <w:t xml:space="preserve">   适当性匹配意见</w:t>
            </w:r>
          </w:p>
        </w:tc>
        <w:tc>
          <w:tcPr>
            <w:tcW w:w="7654" w:type="dxa"/>
            <w:noWrap w:val="0"/>
            <w:vAlign w:val="top"/>
          </w:tcPr>
          <w:p>
            <w:pPr>
              <w:snapToGrid w:val="0"/>
              <w:spacing w:line="240" w:lineRule="atLeast"/>
              <w:rPr>
                <w:rFonts w:ascii="宋体" w:hAnsi="宋体"/>
                <w:szCs w:val="21"/>
              </w:rPr>
            </w:pPr>
          </w:p>
          <w:p>
            <w:pPr>
              <w:snapToGrid w:val="0"/>
              <w:spacing w:line="240" w:lineRule="atLeast"/>
              <w:rPr>
                <w:rFonts w:ascii="宋体" w:hAnsi="宋体"/>
                <w:szCs w:val="21"/>
              </w:rPr>
            </w:pPr>
            <w:r>
              <w:rPr>
                <w:rFonts w:hint="eastAsia" w:ascii="宋体" w:hAnsi="宋体"/>
                <w:szCs w:val="21"/>
              </w:rPr>
              <w:t>尊敬的投资者（姓名/名称：__________ 资金账号：____________________）：</w:t>
            </w:r>
          </w:p>
          <w:p>
            <w:pPr>
              <w:spacing w:line="240" w:lineRule="atLeast"/>
              <w:ind w:firstLine="420" w:firstLineChars="200"/>
              <w:textAlignment w:val="baseline"/>
              <w:rPr>
                <w:rFonts w:ascii="宋体" w:hAnsi="宋体"/>
                <w:szCs w:val="21"/>
              </w:rPr>
            </w:pPr>
          </w:p>
          <w:p>
            <w:pPr>
              <w:spacing w:line="240" w:lineRule="atLeast"/>
              <w:ind w:firstLine="420" w:firstLineChars="200"/>
              <w:textAlignment w:val="baseline"/>
              <w:rPr>
                <w:rFonts w:ascii="宋体" w:hAnsi="宋体"/>
                <w:szCs w:val="21"/>
              </w:rPr>
            </w:pPr>
            <w:r>
              <w:rPr>
                <w:rFonts w:hint="eastAsia" w:ascii="宋体" w:hAnsi="宋体"/>
                <w:szCs w:val="21"/>
              </w:rPr>
              <w:t>您的风险承受能力等级为：（例如：□C1级□C2级□C3级□C4级□C5级）；</w:t>
            </w:r>
          </w:p>
          <w:p>
            <w:pPr>
              <w:snapToGrid w:val="0"/>
              <w:spacing w:line="240" w:lineRule="atLeast"/>
              <w:ind w:firstLine="435"/>
              <w:rPr>
                <w:rFonts w:ascii="宋体" w:hAnsi="宋体"/>
                <w:szCs w:val="21"/>
                <w:u w:val="single"/>
              </w:rPr>
            </w:pPr>
            <w:r>
              <w:rPr>
                <w:rFonts w:hint="eastAsia" w:ascii="宋体" w:hAnsi="宋体"/>
                <w:szCs w:val="21"/>
              </w:rPr>
              <w:t>您拟投资的产品</w:t>
            </w:r>
            <w:r>
              <w:rPr>
                <w:rFonts w:hint="eastAsia" w:ascii="宋体" w:hAnsi="宋体"/>
                <w:szCs w:val="21"/>
                <w:u w:val="single"/>
              </w:rPr>
              <w:t xml:space="preserve">             </w:t>
            </w:r>
            <w:r>
              <w:rPr>
                <w:rFonts w:hint="eastAsia" w:ascii="宋体" w:hAnsi="宋体"/>
                <w:szCs w:val="21"/>
              </w:rPr>
              <w:t>或拟接受的服务</w:t>
            </w:r>
            <w:r>
              <w:rPr>
                <w:rFonts w:hint="eastAsia" w:ascii="宋体" w:hAnsi="宋体"/>
                <w:szCs w:val="21"/>
                <w:u w:val="single"/>
              </w:rPr>
              <w:t xml:space="preserve">             </w:t>
            </w:r>
            <w:r>
              <w:rPr>
                <w:rFonts w:hint="eastAsia" w:ascii="宋体" w:hAnsi="宋体"/>
                <w:szCs w:val="21"/>
              </w:rPr>
              <w:t>：</w:t>
            </w:r>
          </w:p>
          <w:p>
            <w:pPr>
              <w:snapToGrid w:val="0"/>
              <w:spacing w:line="240" w:lineRule="atLeast"/>
              <w:ind w:firstLine="435"/>
              <w:rPr>
                <w:rFonts w:ascii="宋体" w:hAnsi="宋体"/>
                <w:szCs w:val="21"/>
              </w:rPr>
            </w:pPr>
            <w:r>
              <w:rPr>
                <w:rFonts w:hint="eastAsia" w:ascii="宋体" w:hAnsi="宋体"/>
                <w:szCs w:val="21"/>
              </w:rPr>
              <w:t>风险等级为：（例如：□ R1 □R2 □R3 □R4 □ R5）；</w:t>
            </w:r>
          </w:p>
          <w:p>
            <w:pPr>
              <w:ind w:firstLine="420" w:firstLineChars="200"/>
            </w:pPr>
            <w:bookmarkStart w:id="1" w:name="_GoBack"/>
            <w:bookmarkEnd w:id="1"/>
          </w:p>
          <w:p>
            <w:pPr>
              <w:rPr>
                <w:szCs w:val="21"/>
              </w:rPr>
            </w:pPr>
            <w:r>
              <w:rPr>
                <w:rFonts w:hint="eastAsia"/>
                <w:szCs w:val="21"/>
              </w:rPr>
              <w:t xml:space="preserve">  </w:t>
            </w:r>
          </w:p>
          <w:p>
            <w:pPr>
              <w:snapToGrid w:val="0"/>
              <w:spacing w:line="240" w:lineRule="atLeast"/>
              <w:ind w:firstLine="435"/>
              <w:rPr>
                <w:rFonts w:ascii="宋体" w:hAnsi="宋体"/>
                <w:szCs w:val="21"/>
              </w:rPr>
            </w:pPr>
          </w:p>
          <w:p>
            <w:pPr>
              <w:snapToGrid w:val="0"/>
              <w:spacing w:line="240" w:lineRule="atLeast"/>
              <w:ind w:firstLine="420" w:firstLineChars="200"/>
              <w:rPr>
                <w:rFonts w:ascii="宋体" w:hAnsi="宋体"/>
                <w:b/>
                <w:szCs w:val="21"/>
              </w:rPr>
            </w:pPr>
            <w:r>
              <w:rPr>
                <w:rFonts w:hint="eastAsia" w:ascii="宋体" w:hAnsi="宋体"/>
                <w:b/>
                <w:szCs w:val="21"/>
              </w:rPr>
              <w:t>本营业网点已经向您充分揭示了该金融产品或服务的风险。您的风险承受能力等级与该金融产品或服务风险等级相匹配。本适当性评估意见供您决策参考，并不代表本营业网点对上述产品或服务的风险或收益作出实质性判断和保证。</w:t>
            </w:r>
          </w:p>
          <w:p>
            <w:pPr>
              <w:snapToGrid w:val="0"/>
              <w:spacing w:line="240" w:lineRule="atLeast"/>
              <w:ind w:firstLine="420" w:firstLineChars="200"/>
              <w:rPr>
                <w:rFonts w:ascii="宋体" w:hAnsi="宋体"/>
                <w:b/>
                <w:szCs w:val="21"/>
              </w:rPr>
            </w:pPr>
          </w:p>
          <w:p>
            <w:pPr>
              <w:snapToGrid w:val="0"/>
              <w:spacing w:line="240" w:lineRule="atLeast"/>
              <w:ind w:firstLine="420" w:firstLineChars="200"/>
              <w:rPr>
                <w:rFonts w:ascii="宋体" w:hAnsi="宋体"/>
                <w:b/>
                <w:szCs w:val="21"/>
              </w:rPr>
            </w:pPr>
            <w:r>
              <w:rPr>
                <w:rFonts w:hint="eastAsia" w:ascii="宋体" w:hAnsi="宋体"/>
                <w:b/>
                <w:szCs w:val="21"/>
              </w:rPr>
              <w:t>本营业网点就上述适当性评估意见与您进行确认，并建议您审慎考察该产品或服务的特征及风险，进行充分风险评估，自行做出投资决定。</w:t>
            </w:r>
          </w:p>
          <w:p>
            <w:pPr>
              <w:snapToGrid w:val="0"/>
              <w:spacing w:line="240" w:lineRule="atLeast"/>
              <w:ind w:firstLine="420" w:firstLineChars="200"/>
              <w:rPr>
                <w:rFonts w:ascii="宋体" w:hAnsi="宋体"/>
                <w:b/>
                <w:szCs w:val="21"/>
              </w:rPr>
            </w:pPr>
          </w:p>
          <w:p>
            <w:pPr>
              <w:snapToGrid w:val="0"/>
              <w:spacing w:line="240" w:lineRule="atLeast"/>
              <w:rPr>
                <w:rFonts w:ascii="宋体" w:hAnsi="宋体"/>
                <w:szCs w:val="21"/>
              </w:rPr>
            </w:pPr>
            <w:r>
              <w:rPr>
                <w:rFonts w:hint="eastAsia" w:ascii="宋体" w:hAnsi="宋体"/>
                <w:szCs w:val="21"/>
              </w:rPr>
              <w:t xml:space="preserve">                           营业网点/公司盖章：</w:t>
            </w:r>
          </w:p>
          <w:p>
            <w:pPr>
              <w:snapToGrid w:val="0"/>
              <w:spacing w:line="240" w:lineRule="atLeast"/>
              <w:rPr>
                <w:rFonts w:ascii="宋体" w:hAnsi="宋体"/>
                <w:szCs w:val="21"/>
              </w:rPr>
            </w:pPr>
            <w:r>
              <w:rPr>
                <w:rFonts w:hint="eastAsia" w:ascii="宋体" w:hAnsi="宋体"/>
                <w:szCs w:val="21"/>
              </w:rPr>
              <w:t xml:space="preserve">                            日    期：</w:t>
            </w:r>
          </w:p>
          <w:p>
            <w:pPr>
              <w:snapToGrid w:val="0"/>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3884" w:hRule="atLeast"/>
        </w:trPr>
        <w:tc>
          <w:tcPr>
            <w:tcW w:w="1277" w:type="dxa"/>
            <w:noWrap w:val="0"/>
            <w:textDirection w:val="tbRlV"/>
            <w:vAlign w:val="top"/>
          </w:tcPr>
          <w:p>
            <w:pPr>
              <w:snapToGrid w:val="0"/>
              <w:spacing w:line="240" w:lineRule="atLeast"/>
              <w:ind w:left="113" w:right="113"/>
              <w:rPr>
                <w:rFonts w:ascii="宋体" w:hAnsi="宋体"/>
                <w:b/>
                <w:szCs w:val="21"/>
              </w:rPr>
            </w:pPr>
          </w:p>
          <w:p>
            <w:pPr>
              <w:snapToGrid w:val="0"/>
              <w:spacing w:line="240" w:lineRule="atLeast"/>
              <w:ind w:left="113" w:leftChars="54" w:right="113" w:firstLine="1030" w:firstLineChars="490"/>
              <w:rPr>
                <w:rFonts w:ascii="宋体" w:hAnsi="宋体"/>
                <w:b/>
                <w:szCs w:val="21"/>
              </w:rPr>
            </w:pPr>
            <w:r>
              <w:rPr>
                <w:rFonts w:hint="eastAsia" w:ascii="宋体" w:hAnsi="宋体"/>
                <w:b/>
                <w:szCs w:val="21"/>
              </w:rPr>
              <w:t>投资者确认</w:t>
            </w:r>
          </w:p>
        </w:tc>
        <w:tc>
          <w:tcPr>
            <w:tcW w:w="7654" w:type="dxa"/>
            <w:noWrap w:val="0"/>
            <w:vAlign w:val="top"/>
          </w:tcPr>
          <w:p>
            <w:pPr>
              <w:snapToGrid w:val="0"/>
              <w:spacing w:line="240" w:lineRule="atLeast"/>
              <w:rPr>
                <w:rFonts w:ascii="宋体" w:hAnsi="宋体"/>
                <w:szCs w:val="21"/>
              </w:rPr>
            </w:pPr>
          </w:p>
          <w:p>
            <w:pPr>
              <w:snapToGrid w:val="0"/>
              <w:spacing w:line="240" w:lineRule="atLeast"/>
              <w:rPr>
                <w:rFonts w:ascii="宋体" w:hAnsi="宋体"/>
                <w:szCs w:val="21"/>
              </w:rPr>
            </w:pPr>
            <w:r>
              <w:rPr>
                <w:rFonts w:hint="eastAsia" w:ascii="宋体" w:hAnsi="宋体"/>
                <w:szCs w:val="21"/>
              </w:rPr>
              <w:t>XXXX证券经营机构XX营业网点：</w:t>
            </w:r>
          </w:p>
          <w:p>
            <w:pPr>
              <w:snapToGrid w:val="0"/>
              <w:spacing w:line="240" w:lineRule="atLeast"/>
              <w:ind w:firstLine="420" w:firstLineChars="200"/>
              <w:rPr>
                <w:rFonts w:ascii="宋体" w:hAnsi="宋体"/>
                <w:szCs w:val="21"/>
              </w:rPr>
            </w:pPr>
          </w:p>
          <w:p>
            <w:pPr>
              <w:snapToGrid w:val="0"/>
              <w:spacing w:line="240" w:lineRule="atLeast"/>
              <w:ind w:firstLine="420" w:firstLineChars="200"/>
              <w:rPr>
                <w:rFonts w:ascii="宋体" w:hAnsi="宋体"/>
                <w:szCs w:val="21"/>
              </w:rPr>
            </w:pPr>
            <w:r>
              <w:rPr>
                <w:rFonts w:hint="eastAsia" w:ascii="宋体" w:hAnsi="宋体"/>
                <w:szCs w:val="21"/>
              </w:rPr>
              <w:t>本人/本机构已认真阅读了贵营业网点关于</w:t>
            </w:r>
            <w:r>
              <w:rPr>
                <w:rFonts w:hint="eastAsia" w:ascii="宋体" w:hAnsi="宋体"/>
                <w:szCs w:val="21"/>
                <w:u w:val="single"/>
              </w:rPr>
              <w:t xml:space="preserve">      </w:t>
            </w:r>
            <w:r>
              <w:rPr>
                <w:rFonts w:hint="eastAsia" w:ascii="宋体" w:hAnsi="宋体"/>
                <w:szCs w:val="21"/>
              </w:rPr>
              <w:t>产品或</w:t>
            </w:r>
            <w:r>
              <w:rPr>
                <w:rFonts w:hint="eastAsia" w:ascii="宋体" w:hAnsi="宋体"/>
                <w:szCs w:val="21"/>
                <w:u w:val="single"/>
              </w:rPr>
              <w:t xml:space="preserve">      </w:t>
            </w:r>
            <w:r>
              <w:rPr>
                <w:rFonts w:hint="eastAsia" w:ascii="宋体" w:hAnsi="宋体"/>
                <w:szCs w:val="21"/>
              </w:rPr>
              <w:t>服务的风险揭示书，并已充分了解该产品或服务的特征和风险，签署了风险揭示书。</w:t>
            </w:r>
          </w:p>
          <w:p>
            <w:pPr>
              <w:snapToGrid w:val="0"/>
              <w:spacing w:line="240" w:lineRule="atLeast"/>
              <w:ind w:firstLine="420" w:firstLineChars="200"/>
              <w:rPr>
                <w:rFonts w:ascii="宋体" w:hAnsi="宋体"/>
                <w:szCs w:val="21"/>
              </w:rPr>
            </w:pPr>
          </w:p>
          <w:p>
            <w:pPr>
              <w:snapToGrid w:val="0"/>
              <w:spacing w:line="240" w:lineRule="atLeast"/>
              <w:ind w:firstLine="411" w:firstLineChars="196"/>
              <w:rPr>
                <w:rFonts w:ascii="宋体" w:hAnsi="宋体"/>
                <w:b/>
                <w:szCs w:val="21"/>
              </w:rPr>
            </w:pPr>
            <w:r>
              <w:rPr>
                <w:rFonts w:hint="eastAsia" w:ascii="宋体" w:hAnsi="宋体"/>
                <w:szCs w:val="21"/>
              </w:rPr>
              <w:t>本人/本机构在此确认自身风险承受能力等级与该金融产品或服务风险等级相匹配。</w:t>
            </w:r>
          </w:p>
          <w:p>
            <w:pPr>
              <w:snapToGrid w:val="0"/>
              <w:spacing w:line="240" w:lineRule="atLeast"/>
              <w:ind w:firstLine="412" w:firstLineChars="196"/>
              <w:rPr>
                <w:rFonts w:ascii="宋体" w:hAnsi="宋体"/>
                <w:b/>
                <w:szCs w:val="21"/>
              </w:rPr>
            </w:pPr>
          </w:p>
          <w:p>
            <w:pPr>
              <w:snapToGrid w:val="0"/>
              <w:spacing w:line="240" w:lineRule="atLeast"/>
              <w:ind w:firstLine="412" w:firstLineChars="196"/>
              <w:rPr>
                <w:rFonts w:ascii="宋体" w:hAnsi="宋体"/>
                <w:b/>
                <w:szCs w:val="21"/>
              </w:rPr>
            </w:pPr>
            <w:r>
              <w:rPr>
                <w:rFonts w:hint="eastAsia" w:ascii="宋体" w:hAnsi="宋体"/>
                <w:b/>
                <w:szCs w:val="21"/>
              </w:rPr>
              <w:t>本人/本机构投资该项产品或接受该项服务的决定，系本人/本机构独立、自主、真实的意思表示，与贵营业网点及相关从业人员无关。</w:t>
            </w:r>
          </w:p>
          <w:p>
            <w:pPr>
              <w:snapToGrid w:val="0"/>
              <w:spacing w:line="240" w:lineRule="atLeast"/>
              <w:ind w:firstLine="412" w:firstLineChars="196"/>
              <w:rPr>
                <w:rFonts w:ascii="宋体" w:hAnsi="宋体"/>
                <w:b/>
                <w:szCs w:val="21"/>
              </w:rPr>
            </w:pPr>
          </w:p>
          <w:p>
            <w:pPr>
              <w:snapToGrid w:val="0"/>
              <w:spacing w:line="240" w:lineRule="atLeast"/>
              <w:rPr>
                <w:rFonts w:ascii="宋体" w:hAnsi="宋体"/>
                <w:szCs w:val="21"/>
              </w:rPr>
            </w:pPr>
            <w:r>
              <w:rPr>
                <w:rFonts w:hint="eastAsia" w:ascii="宋体" w:hAnsi="宋体"/>
                <w:szCs w:val="21"/>
              </w:rPr>
              <w:t xml:space="preserve">                            投资者签名或盖章：</w:t>
            </w:r>
          </w:p>
          <w:p>
            <w:pPr>
              <w:snapToGrid w:val="0"/>
              <w:spacing w:line="240" w:lineRule="atLeast"/>
              <w:ind w:firstLine="2940" w:firstLineChars="1400"/>
              <w:rPr>
                <w:rFonts w:ascii="宋体" w:hAnsi="宋体"/>
                <w:szCs w:val="21"/>
              </w:rPr>
            </w:pPr>
            <w:r>
              <w:rPr>
                <w:rFonts w:hint="eastAsia" w:ascii="宋体" w:hAnsi="宋体"/>
                <w:szCs w:val="21"/>
              </w:rPr>
              <w:t>日    期：</w:t>
            </w:r>
          </w:p>
          <w:p>
            <w:pPr>
              <w:snapToGrid w:val="0"/>
              <w:spacing w:line="240" w:lineRule="atLeast"/>
              <w:ind w:firstLine="2940" w:firstLineChars="1400"/>
              <w:rPr>
                <w:rFonts w:ascii="宋体" w:hAnsi="宋体"/>
                <w:szCs w:val="21"/>
              </w:rPr>
            </w:pPr>
          </w:p>
        </w:tc>
      </w:tr>
    </w:tbl>
    <w:p>
      <w:pPr>
        <w:spacing w:line="240" w:lineRule="atLeast"/>
        <w:jc w:val="left"/>
        <w:rPr>
          <w:rFonts w:ascii="宋体" w:hAnsi="宋体"/>
          <w:sz w:val="24"/>
        </w:rPr>
      </w:pPr>
      <w:r>
        <w:rPr>
          <w:rFonts w:hint="eastAsia" w:ascii="宋体" w:hAnsi="宋体"/>
          <w:sz w:val="24"/>
        </w:rPr>
        <w:br w:type="page"/>
      </w:r>
      <w:r>
        <w:rPr>
          <w:rFonts w:hint="eastAsia" w:ascii="宋体" w:hAnsi="宋体"/>
          <w:b/>
          <w:sz w:val="24"/>
        </w:rPr>
        <w:t>附件8</w:t>
      </w:r>
      <w:r>
        <w:rPr>
          <w:rFonts w:hint="eastAsia" w:ascii="宋体" w:hAnsi="宋体"/>
          <w:sz w:val="24"/>
        </w:rPr>
        <w:t>：</w:t>
      </w:r>
    </w:p>
    <w:p>
      <w:pPr>
        <w:spacing w:line="240" w:lineRule="atLeast"/>
        <w:jc w:val="center"/>
        <w:rPr>
          <w:rFonts w:ascii="宋体" w:hAnsi="宋体"/>
          <w:b/>
          <w:sz w:val="24"/>
        </w:rPr>
      </w:pPr>
      <w:r>
        <w:rPr>
          <w:rFonts w:hint="eastAsia" w:ascii="宋体" w:hAnsi="宋体"/>
          <w:b/>
          <w:sz w:val="24"/>
        </w:rPr>
        <w:t>产品或服务风险警示及投资者确认书（一式两份）</w:t>
      </w:r>
    </w:p>
    <w:tbl>
      <w:tblPr>
        <w:tblStyle w:val="3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277" w:type="dxa"/>
            <w:noWrap w:val="0"/>
            <w:vAlign w:val="top"/>
          </w:tcPr>
          <w:p>
            <w:pPr>
              <w:snapToGrid w:val="0"/>
              <w:spacing w:line="240" w:lineRule="atLeast"/>
              <w:rPr>
                <w:rFonts w:hint="eastAsia" w:ascii="宋体" w:hAnsi="宋体"/>
                <w:szCs w:val="21"/>
              </w:rPr>
            </w:pPr>
          </w:p>
          <w:p>
            <w:pPr>
              <w:snapToGrid w:val="0"/>
              <w:spacing w:line="240" w:lineRule="atLeast"/>
              <w:rPr>
                <w:rFonts w:hint="eastAsia" w:ascii="宋体" w:hAnsi="宋体"/>
                <w:szCs w:val="21"/>
              </w:rPr>
            </w:pPr>
          </w:p>
          <w:p>
            <w:pPr>
              <w:snapToGrid w:val="0"/>
              <w:spacing w:line="240" w:lineRule="atLeast"/>
              <w:jc w:val="center"/>
              <w:rPr>
                <w:rFonts w:hint="eastAsia" w:ascii="宋体" w:hAnsi="宋体"/>
                <w:szCs w:val="21"/>
              </w:rPr>
            </w:pPr>
          </w:p>
          <w:p>
            <w:pPr>
              <w:snapToGrid w:val="0"/>
              <w:spacing w:line="240" w:lineRule="atLeast"/>
              <w:jc w:val="center"/>
              <w:rPr>
                <w:rFonts w:hint="eastAsia" w:ascii="宋体" w:hAnsi="宋体"/>
                <w:b/>
                <w:szCs w:val="21"/>
              </w:rPr>
            </w:pPr>
            <w:r>
              <w:rPr>
                <w:rFonts w:hint="eastAsia" w:ascii="宋体" w:hAnsi="宋体"/>
                <w:b/>
                <w:szCs w:val="21"/>
              </w:rPr>
              <w:t>风</w:t>
            </w:r>
          </w:p>
          <w:p>
            <w:pPr>
              <w:snapToGrid w:val="0"/>
              <w:spacing w:line="240" w:lineRule="atLeast"/>
              <w:jc w:val="center"/>
              <w:rPr>
                <w:rFonts w:hint="eastAsia" w:ascii="宋体" w:hAnsi="宋体"/>
                <w:b/>
                <w:szCs w:val="21"/>
              </w:rPr>
            </w:pPr>
            <w:r>
              <w:rPr>
                <w:rFonts w:hint="eastAsia" w:ascii="宋体" w:hAnsi="宋体"/>
                <w:b/>
                <w:szCs w:val="21"/>
              </w:rPr>
              <w:t>险</w:t>
            </w:r>
          </w:p>
          <w:p>
            <w:pPr>
              <w:snapToGrid w:val="0"/>
              <w:spacing w:line="240" w:lineRule="atLeast"/>
              <w:jc w:val="center"/>
              <w:rPr>
                <w:rFonts w:hint="eastAsia" w:ascii="宋体" w:hAnsi="宋体"/>
                <w:b/>
                <w:szCs w:val="21"/>
              </w:rPr>
            </w:pPr>
            <w:r>
              <w:rPr>
                <w:rFonts w:hint="eastAsia" w:ascii="宋体" w:hAnsi="宋体"/>
                <w:b/>
                <w:szCs w:val="21"/>
              </w:rPr>
              <w:t>等</w:t>
            </w:r>
          </w:p>
          <w:p>
            <w:pPr>
              <w:snapToGrid w:val="0"/>
              <w:spacing w:line="240" w:lineRule="atLeast"/>
              <w:jc w:val="center"/>
              <w:rPr>
                <w:rFonts w:hint="eastAsia" w:ascii="宋体" w:hAnsi="宋体"/>
                <w:b/>
                <w:szCs w:val="21"/>
              </w:rPr>
            </w:pPr>
            <w:r>
              <w:rPr>
                <w:rFonts w:hint="eastAsia" w:ascii="宋体" w:hAnsi="宋体"/>
                <w:b/>
                <w:szCs w:val="21"/>
              </w:rPr>
              <w:t>级</w:t>
            </w:r>
          </w:p>
          <w:p>
            <w:pPr>
              <w:snapToGrid w:val="0"/>
              <w:spacing w:line="240" w:lineRule="atLeast"/>
              <w:jc w:val="center"/>
              <w:rPr>
                <w:rFonts w:hint="eastAsia" w:ascii="宋体" w:hAnsi="宋体"/>
                <w:b/>
                <w:szCs w:val="21"/>
              </w:rPr>
            </w:pPr>
            <w:r>
              <w:rPr>
                <w:rFonts w:hint="eastAsia" w:ascii="宋体" w:hAnsi="宋体"/>
                <w:b/>
                <w:szCs w:val="21"/>
              </w:rPr>
              <w:t>不</w:t>
            </w:r>
          </w:p>
          <w:p>
            <w:pPr>
              <w:snapToGrid w:val="0"/>
              <w:spacing w:line="240" w:lineRule="atLeast"/>
              <w:jc w:val="center"/>
              <w:rPr>
                <w:rFonts w:hint="eastAsia" w:ascii="宋体" w:hAnsi="宋体"/>
                <w:b/>
                <w:szCs w:val="21"/>
              </w:rPr>
            </w:pPr>
            <w:r>
              <w:rPr>
                <w:rFonts w:hint="eastAsia" w:ascii="宋体" w:hAnsi="宋体"/>
                <w:b/>
                <w:szCs w:val="21"/>
              </w:rPr>
              <w:t>匹</w:t>
            </w:r>
          </w:p>
          <w:p>
            <w:pPr>
              <w:snapToGrid w:val="0"/>
              <w:spacing w:line="240" w:lineRule="atLeast"/>
              <w:jc w:val="center"/>
              <w:rPr>
                <w:rFonts w:hint="eastAsia" w:ascii="宋体" w:hAnsi="宋体"/>
                <w:b/>
                <w:szCs w:val="21"/>
              </w:rPr>
            </w:pPr>
            <w:r>
              <w:rPr>
                <w:rFonts w:hint="eastAsia" w:ascii="宋体" w:hAnsi="宋体"/>
                <w:b/>
                <w:szCs w:val="21"/>
              </w:rPr>
              <w:t>配</w:t>
            </w:r>
          </w:p>
          <w:p>
            <w:pPr>
              <w:snapToGrid w:val="0"/>
              <w:spacing w:line="240" w:lineRule="atLeast"/>
              <w:jc w:val="center"/>
              <w:rPr>
                <w:rFonts w:hint="eastAsia" w:ascii="宋体" w:hAnsi="宋体"/>
                <w:b/>
                <w:szCs w:val="21"/>
              </w:rPr>
            </w:pPr>
            <w:r>
              <w:rPr>
                <w:rFonts w:hint="eastAsia" w:ascii="宋体" w:hAnsi="宋体"/>
                <w:b/>
                <w:szCs w:val="21"/>
              </w:rPr>
              <w:t>警</w:t>
            </w:r>
          </w:p>
          <w:p>
            <w:pPr>
              <w:snapToGrid w:val="0"/>
              <w:spacing w:line="240" w:lineRule="atLeast"/>
              <w:jc w:val="center"/>
              <w:rPr>
                <w:rFonts w:ascii="宋体" w:hAnsi="宋体"/>
                <w:szCs w:val="21"/>
              </w:rPr>
            </w:pPr>
            <w:r>
              <w:rPr>
                <w:rFonts w:hint="eastAsia" w:ascii="宋体" w:hAnsi="宋体"/>
                <w:b/>
                <w:szCs w:val="21"/>
              </w:rPr>
              <w:t>示</w:t>
            </w:r>
          </w:p>
        </w:tc>
        <w:tc>
          <w:tcPr>
            <w:tcW w:w="7654" w:type="dxa"/>
            <w:noWrap w:val="0"/>
            <w:vAlign w:val="top"/>
          </w:tcPr>
          <w:p>
            <w:pPr>
              <w:snapToGrid w:val="0"/>
              <w:spacing w:line="240" w:lineRule="atLeast"/>
              <w:rPr>
                <w:rFonts w:ascii="宋体" w:hAnsi="宋体"/>
                <w:szCs w:val="21"/>
              </w:rPr>
            </w:pPr>
          </w:p>
          <w:p>
            <w:pPr>
              <w:snapToGrid w:val="0"/>
              <w:spacing w:line="240" w:lineRule="atLeast"/>
              <w:rPr>
                <w:rFonts w:ascii="宋体" w:hAnsi="宋体"/>
                <w:szCs w:val="21"/>
              </w:rPr>
            </w:pPr>
            <w:r>
              <w:rPr>
                <w:rFonts w:hint="eastAsia" w:ascii="宋体" w:hAnsi="宋体"/>
                <w:szCs w:val="21"/>
              </w:rPr>
              <w:t>尊敬的投资者（姓名/名称：__________ 资金账号：____________________）：</w:t>
            </w:r>
          </w:p>
          <w:p>
            <w:pPr>
              <w:snapToGrid w:val="0"/>
              <w:spacing w:line="240" w:lineRule="atLeast"/>
              <w:ind w:firstLine="480"/>
              <w:rPr>
                <w:rFonts w:ascii="宋体" w:hAnsi="宋体"/>
                <w:b/>
                <w:szCs w:val="21"/>
              </w:rPr>
            </w:pPr>
            <w:r>
              <w:rPr>
                <w:rFonts w:hint="eastAsia" w:ascii="宋体" w:hAnsi="宋体"/>
                <w:szCs w:val="21"/>
              </w:rPr>
              <w:br w:type="textWrapping"/>
            </w:r>
            <w:r>
              <w:rPr>
                <w:rFonts w:hint="eastAsia" w:ascii="宋体" w:hAnsi="宋体"/>
                <w:szCs w:val="21"/>
              </w:rPr>
              <w:t xml:space="preserve">    您拟投资的金融产品</w:t>
            </w:r>
            <w:r>
              <w:rPr>
                <w:rFonts w:hint="eastAsia" w:ascii="宋体" w:hAnsi="宋体"/>
                <w:szCs w:val="21"/>
                <w:u w:val="single"/>
              </w:rPr>
              <w:t xml:space="preserve">                 </w:t>
            </w:r>
            <w:r>
              <w:rPr>
                <w:rFonts w:hint="eastAsia" w:ascii="宋体" w:hAnsi="宋体"/>
                <w:szCs w:val="21"/>
              </w:rPr>
              <w:t>或金融服务，</w:t>
            </w:r>
            <w:r>
              <w:rPr>
                <w:rFonts w:hint="eastAsia" w:ascii="宋体" w:hAnsi="宋体"/>
                <w:szCs w:val="21"/>
                <w:u w:val="single"/>
              </w:rPr>
              <w:t xml:space="preserve">                 </w:t>
            </w:r>
            <w:r>
              <w:rPr>
                <w:rFonts w:hint="eastAsia" w:ascii="宋体" w:hAnsi="宋体"/>
                <w:szCs w:val="21"/>
              </w:rPr>
              <w:t>其风险等级为</w:t>
            </w:r>
            <w:r>
              <w:rPr>
                <w:rFonts w:hint="eastAsia" w:ascii="宋体" w:hAnsi="宋体"/>
                <w:szCs w:val="21"/>
                <w:u w:val="single"/>
              </w:rPr>
              <w:t xml:space="preserve">            </w:t>
            </w:r>
            <w:r>
              <w:rPr>
                <w:rFonts w:hint="eastAsia" w:ascii="宋体" w:hAnsi="宋体"/>
                <w:szCs w:val="21"/>
              </w:rPr>
              <w:t>，高于您的风险承受能力等级。</w:t>
            </w:r>
            <w:r>
              <w:rPr>
                <w:rFonts w:hint="eastAsia" w:ascii="宋体" w:hAnsi="宋体"/>
                <w:b/>
                <w:szCs w:val="21"/>
              </w:rPr>
              <w:t>购买该产品或接受该服务，可能导致您产生损失。</w:t>
            </w:r>
          </w:p>
          <w:p>
            <w:pPr>
              <w:snapToGrid w:val="0"/>
              <w:spacing w:line="240" w:lineRule="atLeast"/>
              <w:ind w:firstLine="480"/>
              <w:rPr>
                <w:rFonts w:ascii="宋体" w:hAnsi="宋体"/>
                <w:b/>
                <w:szCs w:val="21"/>
              </w:rPr>
            </w:pPr>
          </w:p>
          <w:p>
            <w:pPr>
              <w:snapToGrid w:val="0"/>
              <w:spacing w:line="240" w:lineRule="atLeast"/>
              <w:ind w:firstLine="420" w:firstLineChars="200"/>
              <w:rPr>
                <w:rFonts w:ascii="宋体" w:hAnsi="宋体"/>
                <w:szCs w:val="21"/>
              </w:rPr>
            </w:pPr>
            <w:r>
              <w:rPr>
                <w:rFonts w:hint="eastAsia" w:ascii="宋体" w:hAnsi="宋体"/>
                <w:szCs w:val="21"/>
              </w:rPr>
              <w:t>我营业网点就上述情况向您提出警示，并建议您关注该产品或服务的特征及风险，审慎作出投资决策。</w:t>
            </w:r>
          </w:p>
          <w:p>
            <w:pPr>
              <w:snapToGrid w:val="0"/>
              <w:spacing w:line="240" w:lineRule="atLeast"/>
              <w:ind w:firstLine="420" w:firstLineChars="200"/>
              <w:rPr>
                <w:rFonts w:ascii="宋体" w:hAnsi="宋体"/>
                <w:szCs w:val="21"/>
              </w:rPr>
            </w:pPr>
          </w:p>
          <w:p>
            <w:pPr>
              <w:snapToGrid w:val="0"/>
              <w:spacing w:line="240" w:lineRule="atLeast"/>
              <w:ind w:firstLine="420" w:firstLineChars="200"/>
              <w:rPr>
                <w:rFonts w:ascii="宋体" w:hAnsi="宋体"/>
                <w:szCs w:val="21"/>
              </w:rPr>
            </w:pPr>
            <w:r>
              <w:rPr>
                <w:rFonts w:hint="eastAsia" w:ascii="宋体" w:hAnsi="宋体"/>
                <w:szCs w:val="21"/>
              </w:rPr>
              <w:t>若您经审慎考虑后，仍坚持购买该产品或接受该服务，请签署下附投资确认书。</w:t>
            </w:r>
          </w:p>
          <w:p>
            <w:pPr>
              <w:snapToGrid w:val="0"/>
              <w:spacing w:line="240" w:lineRule="atLeast"/>
              <w:ind w:firstLine="420" w:firstLineChars="200"/>
              <w:rPr>
                <w:rFonts w:ascii="宋体" w:hAnsi="宋体"/>
                <w:szCs w:val="21"/>
              </w:rPr>
            </w:pPr>
          </w:p>
          <w:p>
            <w:pPr>
              <w:snapToGrid w:val="0"/>
              <w:spacing w:line="240" w:lineRule="atLeast"/>
              <w:ind w:firstLine="420" w:firstLineChars="200"/>
              <w:rPr>
                <w:rFonts w:ascii="宋体" w:hAnsi="宋体"/>
                <w:szCs w:val="21"/>
              </w:rPr>
            </w:pPr>
          </w:p>
          <w:p>
            <w:pPr>
              <w:snapToGrid w:val="0"/>
              <w:spacing w:line="240" w:lineRule="atLeast"/>
              <w:ind w:firstLine="420" w:firstLineChars="200"/>
              <w:rPr>
                <w:rFonts w:ascii="宋体" w:hAnsi="宋体"/>
                <w:szCs w:val="21"/>
              </w:rPr>
            </w:pPr>
          </w:p>
          <w:p>
            <w:pPr>
              <w:snapToGrid w:val="0"/>
              <w:spacing w:line="240" w:lineRule="atLeast"/>
              <w:rPr>
                <w:rFonts w:ascii="宋体" w:hAnsi="宋体"/>
                <w:szCs w:val="21"/>
              </w:rPr>
            </w:pPr>
            <w:r>
              <w:rPr>
                <w:rFonts w:hint="eastAsia" w:ascii="宋体" w:hAnsi="宋体"/>
                <w:szCs w:val="21"/>
              </w:rPr>
              <w:t xml:space="preserve">                       营业网点/公司盖章：</w:t>
            </w:r>
          </w:p>
          <w:p>
            <w:pPr>
              <w:snapToGrid w:val="0"/>
              <w:spacing w:line="240" w:lineRule="atLeast"/>
              <w:rPr>
                <w:rFonts w:ascii="宋体" w:hAnsi="宋体"/>
                <w:szCs w:val="21"/>
              </w:rPr>
            </w:pPr>
          </w:p>
          <w:p>
            <w:pPr>
              <w:snapToGrid w:val="0"/>
              <w:spacing w:line="240" w:lineRule="atLeast"/>
              <w:rPr>
                <w:rFonts w:ascii="宋体" w:hAnsi="宋体"/>
                <w:szCs w:val="21"/>
              </w:rPr>
            </w:pPr>
            <w:r>
              <w:rPr>
                <w:rFonts w:hint="eastAsia" w:ascii="宋体" w:hAnsi="宋体"/>
                <w:szCs w:val="21"/>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670" w:hRule="atLeast"/>
        </w:trPr>
        <w:tc>
          <w:tcPr>
            <w:tcW w:w="1277" w:type="dxa"/>
            <w:noWrap w:val="0"/>
            <w:vAlign w:val="top"/>
          </w:tcPr>
          <w:p>
            <w:pPr>
              <w:snapToGrid w:val="0"/>
              <w:spacing w:line="240" w:lineRule="atLeast"/>
              <w:rPr>
                <w:rFonts w:hint="eastAsia" w:ascii="宋体" w:hAnsi="宋体"/>
                <w:szCs w:val="21"/>
              </w:rPr>
            </w:pPr>
          </w:p>
          <w:p>
            <w:pPr>
              <w:snapToGrid w:val="0"/>
              <w:spacing w:line="240" w:lineRule="atLeast"/>
              <w:rPr>
                <w:rFonts w:hint="eastAsia" w:ascii="宋体" w:hAnsi="宋体"/>
                <w:szCs w:val="21"/>
              </w:rPr>
            </w:pPr>
          </w:p>
          <w:p>
            <w:pPr>
              <w:snapToGrid w:val="0"/>
              <w:spacing w:line="240" w:lineRule="atLeast"/>
              <w:rPr>
                <w:rFonts w:hint="eastAsia" w:ascii="宋体" w:hAnsi="宋体"/>
                <w:szCs w:val="21"/>
              </w:rPr>
            </w:pPr>
          </w:p>
          <w:p>
            <w:pPr>
              <w:snapToGrid w:val="0"/>
              <w:spacing w:line="240" w:lineRule="atLeast"/>
              <w:rPr>
                <w:rFonts w:hint="eastAsia" w:ascii="宋体" w:hAnsi="宋体"/>
                <w:szCs w:val="21"/>
              </w:rPr>
            </w:pPr>
          </w:p>
          <w:p>
            <w:pPr>
              <w:snapToGrid w:val="0"/>
              <w:spacing w:line="240" w:lineRule="atLeast"/>
              <w:rPr>
                <w:rFonts w:hint="eastAsia" w:ascii="宋体" w:hAnsi="宋体"/>
                <w:b/>
                <w:szCs w:val="21"/>
              </w:rPr>
            </w:pPr>
          </w:p>
          <w:p>
            <w:pPr>
              <w:snapToGrid w:val="0"/>
              <w:spacing w:line="240" w:lineRule="atLeast"/>
              <w:jc w:val="center"/>
              <w:rPr>
                <w:rFonts w:hint="eastAsia" w:ascii="宋体" w:hAnsi="宋体"/>
                <w:b/>
                <w:szCs w:val="21"/>
              </w:rPr>
            </w:pPr>
            <w:r>
              <w:rPr>
                <w:rFonts w:hint="eastAsia" w:ascii="宋体" w:hAnsi="宋体"/>
                <w:b/>
                <w:szCs w:val="21"/>
              </w:rPr>
              <w:t>投</w:t>
            </w:r>
          </w:p>
          <w:p>
            <w:pPr>
              <w:snapToGrid w:val="0"/>
              <w:spacing w:line="240" w:lineRule="atLeast"/>
              <w:jc w:val="center"/>
              <w:rPr>
                <w:rFonts w:hint="eastAsia" w:ascii="宋体" w:hAnsi="宋体"/>
                <w:b/>
                <w:szCs w:val="21"/>
              </w:rPr>
            </w:pPr>
            <w:r>
              <w:rPr>
                <w:rFonts w:hint="eastAsia" w:ascii="宋体" w:hAnsi="宋体"/>
                <w:b/>
                <w:szCs w:val="21"/>
              </w:rPr>
              <w:t>资</w:t>
            </w:r>
          </w:p>
          <w:p>
            <w:pPr>
              <w:snapToGrid w:val="0"/>
              <w:spacing w:line="240" w:lineRule="atLeast"/>
              <w:jc w:val="center"/>
              <w:rPr>
                <w:rFonts w:hint="eastAsia" w:ascii="宋体" w:hAnsi="宋体"/>
                <w:b/>
                <w:szCs w:val="21"/>
              </w:rPr>
            </w:pPr>
            <w:r>
              <w:rPr>
                <w:rFonts w:hint="eastAsia" w:ascii="宋体" w:hAnsi="宋体"/>
                <w:b/>
                <w:szCs w:val="21"/>
              </w:rPr>
              <w:t>者</w:t>
            </w:r>
          </w:p>
          <w:p>
            <w:pPr>
              <w:snapToGrid w:val="0"/>
              <w:spacing w:line="240" w:lineRule="atLeast"/>
              <w:jc w:val="center"/>
              <w:rPr>
                <w:rFonts w:hint="eastAsia" w:ascii="宋体" w:hAnsi="宋体"/>
                <w:b/>
                <w:szCs w:val="21"/>
              </w:rPr>
            </w:pPr>
            <w:r>
              <w:rPr>
                <w:rFonts w:hint="eastAsia" w:ascii="宋体" w:hAnsi="宋体"/>
                <w:b/>
                <w:szCs w:val="21"/>
              </w:rPr>
              <w:t>确</w:t>
            </w:r>
          </w:p>
          <w:p>
            <w:pPr>
              <w:snapToGrid w:val="0"/>
              <w:spacing w:line="240" w:lineRule="atLeast"/>
              <w:jc w:val="center"/>
              <w:rPr>
                <w:rFonts w:hint="eastAsia" w:ascii="宋体" w:hAnsi="宋体"/>
                <w:b/>
                <w:szCs w:val="21"/>
              </w:rPr>
            </w:pPr>
            <w:r>
              <w:rPr>
                <w:rFonts w:hint="eastAsia" w:ascii="宋体" w:hAnsi="宋体"/>
                <w:b/>
                <w:szCs w:val="21"/>
              </w:rPr>
              <w:t>认</w:t>
            </w:r>
          </w:p>
          <w:p>
            <w:pPr>
              <w:snapToGrid w:val="0"/>
              <w:spacing w:line="240" w:lineRule="atLeast"/>
              <w:jc w:val="center"/>
              <w:rPr>
                <w:rFonts w:ascii="宋体" w:hAnsi="宋体"/>
                <w:szCs w:val="21"/>
              </w:rPr>
            </w:pPr>
            <w:r>
              <w:rPr>
                <w:rFonts w:hint="eastAsia" w:ascii="宋体" w:hAnsi="宋体"/>
                <w:b/>
                <w:szCs w:val="21"/>
              </w:rPr>
              <w:t>书</w:t>
            </w:r>
          </w:p>
        </w:tc>
        <w:tc>
          <w:tcPr>
            <w:tcW w:w="7654" w:type="dxa"/>
            <w:noWrap w:val="0"/>
            <w:vAlign w:val="top"/>
          </w:tcPr>
          <w:p>
            <w:pPr>
              <w:snapToGrid w:val="0"/>
              <w:spacing w:line="240" w:lineRule="atLeast"/>
              <w:rPr>
                <w:rFonts w:ascii="宋体" w:hAnsi="宋体"/>
                <w:szCs w:val="21"/>
              </w:rPr>
            </w:pPr>
          </w:p>
          <w:p>
            <w:pPr>
              <w:snapToGrid w:val="0"/>
              <w:spacing w:line="240" w:lineRule="atLeast"/>
              <w:rPr>
                <w:rFonts w:ascii="宋体" w:hAnsi="宋体"/>
                <w:szCs w:val="21"/>
              </w:rPr>
            </w:pPr>
            <w:r>
              <w:rPr>
                <w:rFonts w:hint="eastAsia" w:ascii="宋体" w:hAnsi="宋体"/>
                <w:szCs w:val="21"/>
              </w:rPr>
              <w:t>XXXX证券经营机构XX营业网点：</w:t>
            </w:r>
          </w:p>
          <w:p>
            <w:pPr>
              <w:snapToGrid w:val="0"/>
              <w:spacing w:line="240" w:lineRule="atLeast"/>
              <w:rPr>
                <w:rFonts w:ascii="宋体" w:hAnsi="宋体"/>
                <w:szCs w:val="21"/>
              </w:rPr>
            </w:pPr>
          </w:p>
          <w:p>
            <w:pPr>
              <w:snapToGrid w:val="0"/>
              <w:spacing w:line="240" w:lineRule="atLeast"/>
              <w:ind w:firstLine="420" w:firstLineChars="200"/>
              <w:rPr>
                <w:rFonts w:ascii="宋体" w:hAnsi="宋体"/>
                <w:szCs w:val="21"/>
              </w:rPr>
            </w:pPr>
            <w:r>
              <w:rPr>
                <w:rFonts w:hint="eastAsia" w:ascii="宋体" w:hAnsi="宋体"/>
                <w:szCs w:val="21"/>
              </w:rPr>
              <w:t>本人/本机构已认真阅读了贵营业网点关于</w:t>
            </w:r>
            <w:r>
              <w:rPr>
                <w:rFonts w:hint="eastAsia" w:ascii="宋体" w:hAnsi="宋体"/>
                <w:szCs w:val="21"/>
                <w:u w:val="single"/>
              </w:rPr>
              <w:t xml:space="preserve">          </w:t>
            </w:r>
            <w:r>
              <w:rPr>
                <w:rFonts w:hint="eastAsia" w:ascii="宋体" w:hAnsi="宋体"/>
                <w:szCs w:val="21"/>
              </w:rPr>
              <w:t>产品或</w:t>
            </w:r>
            <w:r>
              <w:rPr>
                <w:rFonts w:hint="eastAsia" w:ascii="宋体" w:hAnsi="宋体"/>
                <w:szCs w:val="21"/>
                <w:u w:val="single"/>
              </w:rPr>
              <w:t xml:space="preserve">         </w:t>
            </w:r>
            <w:r>
              <w:rPr>
                <w:rFonts w:hint="eastAsia" w:ascii="宋体" w:hAnsi="宋体"/>
                <w:szCs w:val="21"/>
              </w:rPr>
              <w:t>服务的相关警示，并已充分了解该产品或服务的特征和风险，充分知悉上述不匹配情况。</w:t>
            </w:r>
          </w:p>
          <w:p>
            <w:pPr>
              <w:snapToGrid w:val="0"/>
              <w:spacing w:line="240" w:lineRule="atLeast"/>
              <w:ind w:firstLine="420" w:firstLineChars="200"/>
              <w:rPr>
                <w:rFonts w:ascii="宋体" w:hAnsi="宋体"/>
                <w:b/>
                <w:szCs w:val="21"/>
              </w:rPr>
            </w:pPr>
          </w:p>
          <w:p>
            <w:pPr>
              <w:snapToGrid w:val="0"/>
              <w:spacing w:line="240" w:lineRule="atLeast"/>
              <w:ind w:firstLine="420" w:firstLineChars="200"/>
              <w:rPr>
                <w:rFonts w:ascii="宋体" w:hAnsi="宋体"/>
                <w:b/>
                <w:szCs w:val="21"/>
              </w:rPr>
            </w:pPr>
          </w:p>
          <w:p>
            <w:pPr>
              <w:snapToGrid w:val="0"/>
              <w:spacing w:line="240" w:lineRule="atLeast"/>
              <w:ind w:firstLine="420" w:firstLineChars="200"/>
              <w:rPr>
                <w:rFonts w:ascii="宋体" w:hAnsi="宋体"/>
                <w:b/>
                <w:szCs w:val="21"/>
              </w:rPr>
            </w:pPr>
            <w:r>
              <w:rPr>
                <w:rFonts w:hint="eastAsia" w:ascii="宋体" w:hAnsi="宋体"/>
                <w:b/>
                <w:szCs w:val="21"/>
              </w:rPr>
              <w:t>本人/本机构经审慎考虑后，仍坚持购买该产品或接受该服务，并愿意承担由此可能产生的损失和其他后果。购买该产品或接受该服务的决定，系本人/本机构独立、自主、真实的意思表示，与贵营业网点及相关从业人员无关。</w:t>
            </w:r>
          </w:p>
          <w:p>
            <w:pPr>
              <w:snapToGrid w:val="0"/>
              <w:spacing w:line="240" w:lineRule="atLeast"/>
              <w:ind w:firstLine="420" w:firstLineChars="200"/>
              <w:rPr>
                <w:rFonts w:ascii="宋体" w:hAnsi="宋体"/>
                <w:b/>
                <w:szCs w:val="21"/>
              </w:rPr>
            </w:pPr>
          </w:p>
          <w:p>
            <w:pPr>
              <w:snapToGrid w:val="0"/>
              <w:spacing w:line="240" w:lineRule="atLeast"/>
              <w:ind w:firstLine="420" w:firstLineChars="200"/>
              <w:rPr>
                <w:rFonts w:ascii="宋体" w:hAnsi="宋体"/>
                <w:b/>
                <w:szCs w:val="21"/>
              </w:rPr>
            </w:pPr>
          </w:p>
          <w:p>
            <w:pPr>
              <w:snapToGrid w:val="0"/>
              <w:spacing w:line="240" w:lineRule="atLeast"/>
              <w:ind w:firstLine="420" w:firstLineChars="200"/>
              <w:rPr>
                <w:rFonts w:ascii="宋体" w:hAnsi="宋体"/>
                <w:b/>
                <w:szCs w:val="21"/>
              </w:rPr>
            </w:pPr>
          </w:p>
          <w:p>
            <w:pPr>
              <w:snapToGrid w:val="0"/>
              <w:spacing w:line="240" w:lineRule="atLeast"/>
              <w:ind w:firstLine="420" w:firstLineChars="200"/>
              <w:rPr>
                <w:rFonts w:ascii="宋体" w:hAnsi="宋体"/>
                <w:b/>
                <w:szCs w:val="21"/>
              </w:rPr>
            </w:pPr>
          </w:p>
          <w:p>
            <w:pPr>
              <w:snapToGrid w:val="0"/>
              <w:spacing w:line="240" w:lineRule="atLeast"/>
              <w:rPr>
                <w:rFonts w:ascii="宋体" w:hAnsi="宋体"/>
                <w:szCs w:val="21"/>
              </w:rPr>
            </w:pPr>
            <w:r>
              <w:rPr>
                <w:rFonts w:hint="eastAsia" w:ascii="宋体" w:hAnsi="宋体"/>
                <w:szCs w:val="21"/>
              </w:rPr>
              <w:t xml:space="preserve">                            投资者签名或盖章：</w:t>
            </w:r>
          </w:p>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ind w:firstLine="2940" w:firstLineChars="1400"/>
              <w:rPr>
                <w:rFonts w:ascii="宋体" w:hAnsi="宋体"/>
                <w:szCs w:val="21"/>
              </w:rPr>
            </w:pPr>
            <w:r>
              <w:rPr>
                <w:rFonts w:hint="eastAsia" w:ascii="宋体" w:hAnsi="宋体"/>
                <w:szCs w:val="21"/>
              </w:rPr>
              <w:t>日    期：</w:t>
            </w:r>
          </w:p>
        </w:tc>
      </w:tr>
    </w:tbl>
    <w:p>
      <w:pPr>
        <w:spacing w:line="240" w:lineRule="atLeast"/>
        <w:rPr>
          <w:rFonts w:ascii="宋体" w:hAnsi="宋体"/>
          <w:sz w:val="24"/>
        </w:rPr>
      </w:pPr>
    </w:p>
    <w:p>
      <w:pPr>
        <w:rPr>
          <w:color w:val="FF000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00"/>
    <w:family w:val="auto"/>
    <w:pitch w:val="default"/>
    <w:sig w:usb0="00000287" w:usb1="080F0000" w:usb2="00000010" w:usb3="00000000" w:csb0="0004009F" w:csb1="00000000"/>
  </w:font>
  <w:font w:name="Cambria">
    <w:altName w:val="苹方-简"/>
    <w:panose1 w:val="02040503050406030204"/>
    <w:charset w:val="00"/>
    <w:family w:val="roman"/>
    <w:pitch w:val="default"/>
    <w:sig w:usb0="E00002FF" w:usb1="400004FF" w:usb2="00000000" w:usb3="00000000" w:csb0="0000019F" w:csb1="00000000"/>
  </w:font>
  <w:font w:name="苹方-简">
    <w:panose1 w:val="020B0400000000000000"/>
    <w:charset w:val="86"/>
    <w:family w:val="auto"/>
    <w:pitch w:val="default"/>
    <w:sig w:usb0="00000000" w:usb1="00000000" w:usb2="00000000" w:usb3="00000000" w:csb0="00160000" w:csb1="00000000"/>
  </w:font>
  <w:font w:name="黑体">
    <w:altName w:val="汉仪中黑KW"/>
    <w:panose1 w:val="02010609060101010101"/>
    <w:charset w:val="00"/>
    <w:family w:val="modern"/>
    <w:pitch w:val="default"/>
    <w:sig w:usb0="800002BF" w:usb1="38CF7CFA"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00"/>
    <w:family w:val="modern"/>
    <w:pitch w:val="default"/>
    <w:sig w:usb0="00000001" w:usb1="080E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000" w:usb1="00000000" w:usb2="00000000" w:usb3="00000000" w:csb0="00000000" w:csb1="00000000"/>
  </w:font>
  <w:font w:name="PMingLiU">
    <w:altName w:val="宋体-繁"/>
    <w:panose1 w:val="02020500000000000000"/>
    <w:charset w:val="00"/>
    <w:family w:val="roman"/>
    <w:pitch w:val="default"/>
    <w:sig w:usb0="A00002FF" w:usb1="28CFFCFA" w:usb2="00000016" w:usb3="00000000" w:csb0="00100001" w:csb1="00000000"/>
  </w:font>
  <w:font w:name="宋体-繁">
    <w:panose1 w:val="0201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CG Times">
    <w:altName w:val="Times"/>
    <w:panose1 w:val="02020603050405020304"/>
    <w:charset w:val="00"/>
    <w:family w:val="roman"/>
    <w:pitch w:val="default"/>
    <w:sig w:usb0="00000003" w:usb1="00000000" w:usb2="00000000" w:usb3="00000000" w:csb0="00000001" w:csb1="00000000"/>
  </w:font>
  <w:font w:name="Times">
    <w:panose1 w:val="00000500000000020000"/>
    <w:charset w:val="00"/>
    <w:family w:val="auto"/>
    <w:pitch w:val="default"/>
    <w:sig w:usb0="00000000" w:usb1="00000000" w:usb2="00000000" w:usb3="00000000" w:csb0="00000000" w:csb1="00000000"/>
  </w:font>
  <w:font w:name="仿宋">
    <w:altName w:val="方正仿宋_GBK"/>
    <w:panose1 w:val="02010609060101010101"/>
    <w:charset w:val="00"/>
    <w:family w:val="modern"/>
    <w:pitch w:val="default"/>
    <w:sig w:usb0="800002BF" w:usb1="38CF7CFA" w:usb2="00000016" w:usb3="00000000" w:csb0="00040001" w:csb1="00000000"/>
  </w:font>
  <w:font w:name="方正仿宋简体">
    <w:altName w:val="方正仿宋_GBK"/>
    <w:panose1 w:val="00000000000000000000"/>
    <w:charset w:val="00"/>
    <w:family w:val="auto"/>
    <w:pitch w:val="default"/>
    <w:sig w:usb0="00000000" w:usb1="080E0000" w:usb2="00000000" w:usb3="00000000" w:csb0="0004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10</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upperLetter"/>
      <w:suff w:val="space"/>
      <w:lvlText w:val="%1."/>
      <w:lvlJc w:val="left"/>
    </w:lvl>
  </w:abstractNum>
  <w:abstractNum w:abstractNumId="1">
    <w:nsid w:val="00000002"/>
    <w:multiLevelType w:val="singleLevel"/>
    <w:tmpl w:val="00000002"/>
    <w:lvl w:ilvl="0" w:tentative="0">
      <w:start w:val="1"/>
      <w:numFmt w:val="upperLetter"/>
      <w:suff w:val="space"/>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singleLevel"/>
    <w:tmpl w:val="00000007"/>
    <w:lvl w:ilvl="0" w:tentative="0">
      <w:start w:val="1"/>
      <w:numFmt w:val="upperLetter"/>
      <w:suff w:val="space"/>
      <w:lvlText w:val="%1."/>
      <w:lvlJc w:val="left"/>
    </w:lvl>
  </w:abstractNum>
  <w:abstractNum w:abstractNumId="4">
    <w:nsid w:val="00000009"/>
    <w:multiLevelType w:val="singleLevel"/>
    <w:tmpl w:val="00000009"/>
    <w:lvl w:ilvl="0" w:tentative="0">
      <w:start w:val="1"/>
      <w:numFmt w:val="upperLetter"/>
      <w:suff w:val="space"/>
      <w:lvlText w:val="%1."/>
      <w:lvlJc w:val="left"/>
    </w:lvl>
  </w:abstractNum>
  <w:abstractNum w:abstractNumId="5">
    <w:nsid w:val="0000000A"/>
    <w:multiLevelType w:val="singleLevel"/>
    <w:tmpl w:val="0000000A"/>
    <w:lvl w:ilvl="0" w:tentative="0">
      <w:start w:val="1"/>
      <w:numFmt w:val="upperLetter"/>
      <w:suff w:val="space"/>
      <w:lvlText w:val="%1."/>
      <w:lvlJc w:val="left"/>
    </w:lvl>
  </w:abstractNum>
  <w:abstractNum w:abstractNumId="6">
    <w:nsid w:val="0000000D"/>
    <w:multiLevelType w:val="singleLevel"/>
    <w:tmpl w:val="0000000D"/>
    <w:lvl w:ilvl="0" w:tentative="0">
      <w:start w:val="1"/>
      <w:numFmt w:val="upperLetter"/>
      <w:suff w:val="space"/>
      <w:lvlText w:val="%1."/>
      <w:lvlJc w:val="left"/>
    </w:lvl>
  </w:abstractNum>
  <w:abstractNum w:abstractNumId="7">
    <w:nsid w:val="0000000E"/>
    <w:multiLevelType w:val="singleLevel"/>
    <w:tmpl w:val="0000000E"/>
    <w:lvl w:ilvl="0" w:tentative="0">
      <w:start w:val="1"/>
      <w:numFmt w:val="decimal"/>
      <w:suff w:val="nothing"/>
      <w:lvlText w:val="%1、"/>
      <w:lvlJc w:val="left"/>
    </w:lvl>
  </w:abstractNum>
  <w:abstractNum w:abstractNumId="8">
    <w:nsid w:val="0000000F"/>
    <w:multiLevelType w:val="singleLevel"/>
    <w:tmpl w:val="0000000F"/>
    <w:lvl w:ilvl="0" w:tentative="0">
      <w:start w:val="1"/>
      <w:numFmt w:val="upperLetter"/>
      <w:suff w:val="space"/>
      <w:lvlText w:val="%1."/>
      <w:lvlJc w:val="left"/>
    </w:lvl>
  </w:abstractNum>
  <w:abstractNum w:abstractNumId="9">
    <w:nsid w:val="00000010"/>
    <w:multiLevelType w:val="singleLevel"/>
    <w:tmpl w:val="00000010"/>
    <w:lvl w:ilvl="0" w:tentative="0">
      <w:start w:val="1"/>
      <w:numFmt w:val="upperLetter"/>
      <w:suff w:val="space"/>
      <w:lvlText w:val="%1."/>
      <w:lvlJc w:val="left"/>
    </w:lvl>
  </w:abstractNum>
  <w:abstractNum w:abstractNumId="10">
    <w:nsid w:val="00000012"/>
    <w:multiLevelType w:val="singleLevel"/>
    <w:tmpl w:val="00000012"/>
    <w:lvl w:ilvl="0" w:tentative="0">
      <w:start w:val="1"/>
      <w:numFmt w:val="upperLetter"/>
      <w:suff w:val="space"/>
      <w:lvlText w:val="%1."/>
      <w:lvlJc w:val="left"/>
    </w:lvl>
  </w:abstractNum>
  <w:abstractNum w:abstractNumId="11">
    <w:nsid w:val="00000013"/>
    <w:multiLevelType w:val="singleLevel"/>
    <w:tmpl w:val="00000013"/>
    <w:lvl w:ilvl="0" w:tentative="0">
      <w:start w:val="1"/>
      <w:numFmt w:val="decimal"/>
      <w:suff w:val="nothing"/>
      <w:lvlText w:val="%1、"/>
      <w:lvlJc w:val="left"/>
    </w:lvl>
  </w:abstractNum>
  <w:abstractNum w:abstractNumId="12">
    <w:nsid w:val="00000014"/>
    <w:multiLevelType w:val="singleLevel"/>
    <w:tmpl w:val="00000014"/>
    <w:lvl w:ilvl="0" w:tentative="0">
      <w:start w:val="1"/>
      <w:numFmt w:val="upperLetter"/>
      <w:suff w:val="space"/>
      <w:lvlText w:val="%1."/>
      <w:lvlJc w:val="left"/>
    </w:lvl>
  </w:abstractNum>
  <w:abstractNum w:abstractNumId="13">
    <w:nsid w:val="00000015"/>
    <w:multiLevelType w:val="singleLevel"/>
    <w:tmpl w:val="00000015"/>
    <w:lvl w:ilvl="0" w:tentative="0">
      <w:start w:val="1"/>
      <w:numFmt w:val="upperLetter"/>
      <w:suff w:val="space"/>
      <w:lvlText w:val="%1."/>
      <w:lvlJc w:val="left"/>
    </w:lvl>
  </w:abstractNum>
  <w:abstractNum w:abstractNumId="14">
    <w:nsid w:val="00000017"/>
    <w:multiLevelType w:val="singleLevel"/>
    <w:tmpl w:val="00000017"/>
    <w:lvl w:ilvl="0" w:tentative="0">
      <w:start w:val="1"/>
      <w:numFmt w:val="upperLetter"/>
      <w:suff w:val="nothing"/>
      <w:lvlText w:val="%1."/>
      <w:lvlJc w:val="left"/>
    </w:lvl>
  </w:abstractNum>
  <w:abstractNum w:abstractNumId="15">
    <w:nsid w:val="00000019"/>
    <w:multiLevelType w:val="singleLevel"/>
    <w:tmpl w:val="00000019"/>
    <w:lvl w:ilvl="0" w:tentative="0">
      <w:start w:val="1"/>
      <w:numFmt w:val="upperLetter"/>
      <w:suff w:val="space"/>
      <w:lvlText w:val="%1."/>
      <w:lvlJc w:val="left"/>
    </w:lvl>
  </w:abstractNum>
  <w:abstractNum w:abstractNumId="16">
    <w:nsid w:val="0000001A"/>
    <w:multiLevelType w:val="singleLevel"/>
    <w:tmpl w:val="0000001A"/>
    <w:lvl w:ilvl="0" w:tentative="0">
      <w:start w:val="1"/>
      <w:numFmt w:val="upperLetter"/>
      <w:suff w:val="space"/>
      <w:lvlText w:val="%1."/>
      <w:lvlJc w:val="left"/>
    </w:lvl>
  </w:abstractNum>
  <w:abstractNum w:abstractNumId="17">
    <w:nsid w:val="0000001C"/>
    <w:multiLevelType w:val="singleLevel"/>
    <w:tmpl w:val="0000001C"/>
    <w:lvl w:ilvl="0" w:tentative="0">
      <w:start w:val="1"/>
      <w:numFmt w:val="upperLetter"/>
      <w:suff w:val="space"/>
      <w:lvlText w:val="%1."/>
      <w:lvlJc w:val="left"/>
    </w:lvl>
  </w:abstractNum>
  <w:abstractNum w:abstractNumId="18">
    <w:nsid w:val="0000001D"/>
    <w:multiLevelType w:val="singleLevel"/>
    <w:tmpl w:val="0000001D"/>
    <w:lvl w:ilvl="0" w:tentative="0">
      <w:start w:val="2"/>
      <w:numFmt w:val="decimal"/>
      <w:suff w:val="nothing"/>
      <w:lvlText w:val="%1、"/>
      <w:lvlJc w:val="left"/>
    </w:lvl>
  </w:abstractNum>
  <w:abstractNum w:abstractNumId="19">
    <w:nsid w:val="1E357F82"/>
    <w:multiLevelType w:val="multilevel"/>
    <w:tmpl w:val="1E357F82"/>
    <w:lvl w:ilvl="0" w:tentative="0">
      <w:start w:val="18"/>
      <w:numFmt w:val="decimal"/>
      <w:lvlText w:val="%1、"/>
      <w:lvlJc w:val="left"/>
      <w:pPr>
        <w:ind w:left="525" w:hanging="5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D0D1263"/>
    <w:multiLevelType w:val="singleLevel"/>
    <w:tmpl w:val="5D0D1263"/>
    <w:lvl w:ilvl="0" w:tentative="0">
      <w:start w:val="2"/>
      <w:numFmt w:val="chineseCounting"/>
      <w:suff w:val="nothing"/>
      <w:lvlText w:val="%1、"/>
      <w:lvlJc w:val="left"/>
    </w:lvl>
  </w:abstractNum>
  <w:num w:numId="1">
    <w:abstractNumId w:val="2"/>
  </w:num>
  <w:num w:numId="2">
    <w:abstractNumId w:val="4"/>
  </w:num>
  <w:num w:numId="3">
    <w:abstractNumId w:val="1"/>
  </w:num>
  <w:num w:numId="4">
    <w:abstractNumId w:val="20"/>
  </w:num>
  <w:num w:numId="5">
    <w:abstractNumId w:val="14"/>
  </w:num>
  <w:num w:numId="6">
    <w:abstractNumId w:val="16"/>
  </w:num>
  <w:num w:numId="7">
    <w:abstractNumId w:val="3"/>
  </w:num>
  <w:num w:numId="8">
    <w:abstractNumId w:val="17"/>
  </w:num>
  <w:num w:numId="9">
    <w:abstractNumId w:val="19"/>
  </w:num>
  <w:num w:numId="10">
    <w:abstractNumId w:val="9"/>
  </w:num>
  <w:num w:numId="11">
    <w:abstractNumId w:val="10"/>
  </w:num>
  <w:num w:numId="12">
    <w:abstractNumId w:val="11"/>
  </w:num>
  <w:num w:numId="13">
    <w:abstractNumId w:val="15"/>
  </w:num>
  <w:num w:numId="14">
    <w:abstractNumId w:val="18"/>
  </w:num>
  <w:num w:numId="15">
    <w:abstractNumId w:val="5"/>
  </w:num>
  <w:num w:numId="16">
    <w:abstractNumId w:val="12"/>
  </w:num>
  <w:num w:numId="17">
    <w:abstractNumId w:val="0"/>
  </w:num>
  <w:num w:numId="18">
    <w:abstractNumId w:val="13"/>
  </w:num>
  <w:num w:numId="19">
    <w:abstractNumId w:val="6"/>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9F"/>
    <w:rsid w:val="0000102E"/>
    <w:rsid w:val="0001273B"/>
    <w:rsid w:val="00014FE5"/>
    <w:rsid w:val="00015C5C"/>
    <w:rsid w:val="0002026F"/>
    <w:rsid w:val="00020D36"/>
    <w:rsid w:val="00023552"/>
    <w:rsid w:val="00025C61"/>
    <w:rsid w:val="0002769E"/>
    <w:rsid w:val="00027AC5"/>
    <w:rsid w:val="0003289E"/>
    <w:rsid w:val="00033EF5"/>
    <w:rsid w:val="00042526"/>
    <w:rsid w:val="00050441"/>
    <w:rsid w:val="00055B2D"/>
    <w:rsid w:val="00061559"/>
    <w:rsid w:val="00065919"/>
    <w:rsid w:val="0007292A"/>
    <w:rsid w:val="000739D3"/>
    <w:rsid w:val="000741F7"/>
    <w:rsid w:val="00076FF3"/>
    <w:rsid w:val="000859A8"/>
    <w:rsid w:val="00097D5D"/>
    <w:rsid w:val="000A1BE1"/>
    <w:rsid w:val="000A667D"/>
    <w:rsid w:val="000B1BF0"/>
    <w:rsid w:val="000C2038"/>
    <w:rsid w:val="000D0039"/>
    <w:rsid w:val="000D26BC"/>
    <w:rsid w:val="000D2E1D"/>
    <w:rsid w:val="000E09B2"/>
    <w:rsid w:val="000E1AEE"/>
    <w:rsid w:val="000E223F"/>
    <w:rsid w:val="000E41FD"/>
    <w:rsid w:val="000E5210"/>
    <w:rsid w:val="000F36EC"/>
    <w:rsid w:val="00100D68"/>
    <w:rsid w:val="00101FF5"/>
    <w:rsid w:val="001030D1"/>
    <w:rsid w:val="00103140"/>
    <w:rsid w:val="001055D2"/>
    <w:rsid w:val="001123E6"/>
    <w:rsid w:val="00112E31"/>
    <w:rsid w:val="00121498"/>
    <w:rsid w:val="00122034"/>
    <w:rsid w:val="00125BAA"/>
    <w:rsid w:val="00133848"/>
    <w:rsid w:val="00134694"/>
    <w:rsid w:val="00135B27"/>
    <w:rsid w:val="00143909"/>
    <w:rsid w:val="00151238"/>
    <w:rsid w:val="00151654"/>
    <w:rsid w:val="0015254E"/>
    <w:rsid w:val="00161197"/>
    <w:rsid w:val="0016359A"/>
    <w:rsid w:val="001643C0"/>
    <w:rsid w:val="0016657C"/>
    <w:rsid w:val="001668B0"/>
    <w:rsid w:val="0017098C"/>
    <w:rsid w:val="0017330F"/>
    <w:rsid w:val="00175708"/>
    <w:rsid w:val="00177270"/>
    <w:rsid w:val="00183F78"/>
    <w:rsid w:val="00185E64"/>
    <w:rsid w:val="0019238A"/>
    <w:rsid w:val="00192FC8"/>
    <w:rsid w:val="001944DB"/>
    <w:rsid w:val="001945B4"/>
    <w:rsid w:val="0019681B"/>
    <w:rsid w:val="00196B68"/>
    <w:rsid w:val="001A05B7"/>
    <w:rsid w:val="001A19BE"/>
    <w:rsid w:val="001A4713"/>
    <w:rsid w:val="001A5EFD"/>
    <w:rsid w:val="001B108B"/>
    <w:rsid w:val="001B1AFC"/>
    <w:rsid w:val="001C2CA5"/>
    <w:rsid w:val="001C50B9"/>
    <w:rsid w:val="001C5516"/>
    <w:rsid w:val="001C5ED1"/>
    <w:rsid w:val="001C6751"/>
    <w:rsid w:val="001C7897"/>
    <w:rsid w:val="001D1967"/>
    <w:rsid w:val="001D1E94"/>
    <w:rsid w:val="001D2387"/>
    <w:rsid w:val="001D4FD1"/>
    <w:rsid w:val="001D63A1"/>
    <w:rsid w:val="001D725D"/>
    <w:rsid w:val="001D7E4F"/>
    <w:rsid w:val="001E1B70"/>
    <w:rsid w:val="001E2B76"/>
    <w:rsid w:val="001E2EB7"/>
    <w:rsid w:val="001E3DC5"/>
    <w:rsid w:val="001F1FB8"/>
    <w:rsid w:val="001F24BC"/>
    <w:rsid w:val="001F646B"/>
    <w:rsid w:val="00200041"/>
    <w:rsid w:val="00203F13"/>
    <w:rsid w:val="0020403E"/>
    <w:rsid w:val="00204DCF"/>
    <w:rsid w:val="002100C5"/>
    <w:rsid w:val="00213F32"/>
    <w:rsid w:val="002166A7"/>
    <w:rsid w:val="00220215"/>
    <w:rsid w:val="00221BA9"/>
    <w:rsid w:val="002239D7"/>
    <w:rsid w:val="00230B22"/>
    <w:rsid w:val="00236C18"/>
    <w:rsid w:val="00242305"/>
    <w:rsid w:val="002474A9"/>
    <w:rsid w:val="0025150E"/>
    <w:rsid w:val="00262148"/>
    <w:rsid w:val="002622EB"/>
    <w:rsid w:val="002651AD"/>
    <w:rsid w:val="002702FE"/>
    <w:rsid w:val="00271604"/>
    <w:rsid w:val="002737E3"/>
    <w:rsid w:val="002769F2"/>
    <w:rsid w:val="00277A68"/>
    <w:rsid w:val="002802DC"/>
    <w:rsid w:val="00284C91"/>
    <w:rsid w:val="0028559F"/>
    <w:rsid w:val="002863EA"/>
    <w:rsid w:val="00292C74"/>
    <w:rsid w:val="00293098"/>
    <w:rsid w:val="002A019E"/>
    <w:rsid w:val="002A07A7"/>
    <w:rsid w:val="002A5A72"/>
    <w:rsid w:val="002A5D1C"/>
    <w:rsid w:val="002B1CCA"/>
    <w:rsid w:val="002B7654"/>
    <w:rsid w:val="002C1B17"/>
    <w:rsid w:val="002C63E2"/>
    <w:rsid w:val="002C6F47"/>
    <w:rsid w:val="002D1574"/>
    <w:rsid w:val="002D4CE8"/>
    <w:rsid w:val="002E0DDA"/>
    <w:rsid w:val="002E11FF"/>
    <w:rsid w:val="002E7C3E"/>
    <w:rsid w:val="002F48EC"/>
    <w:rsid w:val="00301F33"/>
    <w:rsid w:val="00303289"/>
    <w:rsid w:val="003074D6"/>
    <w:rsid w:val="00307DF2"/>
    <w:rsid w:val="00317114"/>
    <w:rsid w:val="0032089C"/>
    <w:rsid w:val="003219C1"/>
    <w:rsid w:val="003239BA"/>
    <w:rsid w:val="00324B21"/>
    <w:rsid w:val="00331901"/>
    <w:rsid w:val="00333A65"/>
    <w:rsid w:val="00340059"/>
    <w:rsid w:val="003421E7"/>
    <w:rsid w:val="00343E82"/>
    <w:rsid w:val="00345FDE"/>
    <w:rsid w:val="00351023"/>
    <w:rsid w:val="00352DA2"/>
    <w:rsid w:val="003531B3"/>
    <w:rsid w:val="0036043E"/>
    <w:rsid w:val="00372BFF"/>
    <w:rsid w:val="003748F6"/>
    <w:rsid w:val="003800A5"/>
    <w:rsid w:val="0039289C"/>
    <w:rsid w:val="003935B8"/>
    <w:rsid w:val="003A7081"/>
    <w:rsid w:val="003A7263"/>
    <w:rsid w:val="003A7EA0"/>
    <w:rsid w:val="003B3209"/>
    <w:rsid w:val="003B509E"/>
    <w:rsid w:val="003B6C23"/>
    <w:rsid w:val="003C084C"/>
    <w:rsid w:val="003C0F5F"/>
    <w:rsid w:val="003C6325"/>
    <w:rsid w:val="003C6B3D"/>
    <w:rsid w:val="003D0CDC"/>
    <w:rsid w:val="003D16A5"/>
    <w:rsid w:val="003D16EC"/>
    <w:rsid w:val="003D1BA9"/>
    <w:rsid w:val="003D6F10"/>
    <w:rsid w:val="003E0803"/>
    <w:rsid w:val="003E17AA"/>
    <w:rsid w:val="003E4E5C"/>
    <w:rsid w:val="003E5BA2"/>
    <w:rsid w:val="003F1987"/>
    <w:rsid w:val="0040651F"/>
    <w:rsid w:val="00406B69"/>
    <w:rsid w:val="00410115"/>
    <w:rsid w:val="00413766"/>
    <w:rsid w:val="004242FD"/>
    <w:rsid w:val="00425929"/>
    <w:rsid w:val="004276AB"/>
    <w:rsid w:val="00433EB4"/>
    <w:rsid w:val="00436CAA"/>
    <w:rsid w:val="00436F3A"/>
    <w:rsid w:val="00443C76"/>
    <w:rsid w:val="0044539F"/>
    <w:rsid w:val="00446785"/>
    <w:rsid w:val="004503B7"/>
    <w:rsid w:val="00450EC5"/>
    <w:rsid w:val="00451955"/>
    <w:rsid w:val="0046084C"/>
    <w:rsid w:val="0046296E"/>
    <w:rsid w:val="004675FF"/>
    <w:rsid w:val="00470AA2"/>
    <w:rsid w:val="004714BD"/>
    <w:rsid w:val="00472291"/>
    <w:rsid w:val="00477691"/>
    <w:rsid w:val="00480AEB"/>
    <w:rsid w:val="00481453"/>
    <w:rsid w:val="004816E3"/>
    <w:rsid w:val="00481D20"/>
    <w:rsid w:val="0048312E"/>
    <w:rsid w:val="004839C7"/>
    <w:rsid w:val="00491316"/>
    <w:rsid w:val="00491AF4"/>
    <w:rsid w:val="00497C32"/>
    <w:rsid w:val="004A0639"/>
    <w:rsid w:val="004A2D56"/>
    <w:rsid w:val="004A4D4B"/>
    <w:rsid w:val="004A71FD"/>
    <w:rsid w:val="004B27D5"/>
    <w:rsid w:val="004B2CF5"/>
    <w:rsid w:val="004B2FCD"/>
    <w:rsid w:val="004C1F15"/>
    <w:rsid w:val="004C1FD7"/>
    <w:rsid w:val="004C2F3E"/>
    <w:rsid w:val="004C79B5"/>
    <w:rsid w:val="004D36BD"/>
    <w:rsid w:val="004D62BD"/>
    <w:rsid w:val="004E0D4B"/>
    <w:rsid w:val="004E49C5"/>
    <w:rsid w:val="004E7EF8"/>
    <w:rsid w:val="004F1A8D"/>
    <w:rsid w:val="004F3060"/>
    <w:rsid w:val="004F527D"/>
    <w:rsid w:val="00503198"/>
    <w:rsid w:val="00513070"/>
    <w:rsid w:val="00513C82"/>
    <w:rsid w:val="00520F1D"/>
    <w:rsid w:val="005300DB"/>
    <w:rsid w:val="00532618"/>
    <w:rsid w:val="0054296C"/>
    <w:rsid w:val="005456C1"/>
    <w:rsid w:val="00557A76"/>
    <w:rsid w:val="00560712"/>
    <w:rsid w:val="005618C7"/>
    <w:rsid w:val="00562AAA"/>
    <w:rsid w:val="00565504"/>
    <w:rsid w:val="005664F1"/>
    <w:rsid w:val="00567F2C"/>
    <w:rsid w:val="00572380"/>
    <w:rsid w:val="005724E5"/>
    <w:rsid w:val="00580A7D"/>
    <w:rsid w:val="00580ABE"/>
    <w:rsid w:val="00585599"/>
    <w:rsid w:val="00590FCE"/>
    <w:rsid w:val="00592FDD"/>
    <w:rsid w:val="00594840"/>
    <w:rsid w:val="005968E3"/>
    <w:rsid w:val="005A347D"/>
    <w:rsid w:val="005A5004"/>
    <w:rsid w:val="005B01ED"/>
    <w:rsid w:val="005B281C"/>
    <w:rsid w:val="005B4329"/>
    <w:rsid w:val="005C4923"/>
    <w:rsid w:val="005C50FF"/>
    <w:rsid w:val="005D1F1C"/>
    <w:rsid w:val="005D3DF7"/>
    <w:rsid w:val="005E0B16"/>
    <w:rsid w:val="005F3B29"/>
    <w:rsid w:val="00602954"/>
    <w:rsid w:val="00602E7C"/>
    <w:rsid w:val="00603982"/>
    <w:rsid w:val="00606BD4"/>
    <w:rsid w:val="00612367"/>
    <w:rsid w:val="006131AD"/>
    <w:rsid w:val="00616589"/>
    <w:rsid w:val="006166BB"/>
    <w:rsid w:val="0061783D"/>
    <w:rsid w:val="006179F3"/>
    <w:rsid w:val="00627052"/>
    <w:rsid w:val="00634593"/>
    <w:rsid w:val="0063786F"/>
    <w:rsid w:val="0064512E"/>
    <w:rsid w:val="00645630"/>
    <w:rsid w:val="00654AFA"/>
    <w:rsid w:val="00654B27"/>
    <w:rsid w:val="00655733"/>
    <w:rsid w:val="006659E2"/>
    <w:rsid w:val="006704C9"/>
    <w:rsid w:val="00675AFA"/>
    <w:rsid w:val="00677396"/>
    <w:rsid w:val="006812AC"/>
    <w:rsid w:val="00682B56"/>
    <w:rsid w:val="00682BF8"/>
    <w:rsid w:val="006876A3"/>
    <w:rsid w:val="006960FF"/>
    <w:rsid w:val="006A6765"/>
    <w:rsid w:val="006B0124"/>
    <w:rsid w:val="006B0D2E"/>
    <w:rsid w:val="006B18DD"/>
    <w:rsid w:val="006B1A5C"/>
    <w:rsid w:val="006B2052"/>
    <w:rsid w:val="006B2519"/>
    <w:rsid w:val="006B46B5"/>
    <w:rsid w:val="006B5A7A"/>
    <w:rsid w:val="006B7BA2"/>
    <w:rsid w:val="006C238A"/>
    <w:rsid w:val="006C4B85"/>
    <w:rsid w:val="006D3243"/>
    <w:rsid w:val="006E7FCD"/>
    <w:rsid w:val="006F4E59"/>
    <w:rsid w:val="006F4EF7"/>
    <w:rsid w:val="0070361F"/>
    <w:rsid w:val="00704ACA"/>
    <w:rsid w:val="0070515F"/>
    <w:rsid w:val="0070570F"/>
    <w:rsid w:val="00710B63"/>
    <w:rsid w:val="007144F7"/>
    <w:rsid w:val="007158BB"/>
    <w:rsid w:val="00715ABB"/>
    <w:rsid w:val="007200DA"/>
    <w:rsid w:val="00721495"/>
    <w:rsid w:val="00722486"/>
    <w:rsid w:val="0072532B"/>
    <w:rsid w:val="00727514"/>
    <w:rsid w:val="00735BED"/>
    <w:rsid w:val="00743874"/>
    <w:rsid w:val="007458FC"/>
    <w:rsid w:val="00754757"/>
    <w:rsid w:val="007559D8"/>
    <w:rsid w:val="00761C56"/>
    <w:rsid w:val="00764219"/>
    <w:rsid w:val="00766178"/>
    <w:rsid w:val="00766295"/>
    <w:rsid w:val="00771698"/>
    <w:rsid w:val="00774D2C"/>
    <w:rsid w:val="00776DCD"/>
    <w:rsid w:val="007812C6"/>
    <w:rsid w:val="00781B98"/>
    <w:rsid w:val="00782637"/>
    <w:rsid w:val="00784D00"/>
    <w:rsid w:val="00791E4E"/>
    <w:rsid w:val="00791E7D"/>
    <w:rsid w:val="00793DC8"/>
    <w:rsid w:val="00793E61"/>
    <w:rsid w:val="007957F6"/>
    <w:rsid w:val="007958E7"/>
    <w:rsid w:val="0079694E"/>
    <w:rsid w:val="007A4DB1"/>
    <w:rsid w:val="007A57E5"/>
    <w:rsid w:val="007B1496"/>
    <w:rsid w:val="007B659B"/>
    <w:rsid w:val="007C132F"/>
    <w:rsid w:val="007C2D83"/>
    <w:rsid w:val="007C41DB"/>
    <w:rsid w:val="007C5B2D"/>
    <w:rsid w:val="007C5FD6"/>
    <w:rsid w:val="007D27B3"/>
    <w:rsid w:val="007D2E27"/>
    <w:rsid w:val="007D3C49"/>
    <w:rsid w:val="007D4376"/>
    <w:rsid w:val="007E05C0"/>
    <w:rsid w:val="007E6682"/>
    <w:rsid w:val="008017F4"/>
    <w:rsid w:val="008065E1"/>
    <w:rsid w:val="008104E1"/>
    <w:rsid w:val="008116D7"/>
    <w:rsid w:val="00813A76"/>
    <w:rsid w:val="008161E9"/>
    <w:rsid w:val="00817E94"/>
    <w:rsid w:val="00817F4B"/>
    <w:rsid w:val="0082121B"/>
    <w:rsid w:val="008249DE"/>
    <w:rsid w:val="00840A4B"/>
    <w:rsid w:val="00847AF1"/>
    <w:rsid w:val="0085071A"/>
    <w:rsid w:val="00850AB4"/>
    <w:rsid w:val="00853BE5"/>
    <w:rsid w:val="0086338B"/>
    <w:rsid w:val="00867AD4"/>
    <w:rsid w:val="008738A3"/>
    <w:rsid w:val="00874D42"/>
    <w:rsid w:val="00875072"/>
    <w:rsid w:val="00876251"/>
    <w:rsid w:val="008802D1"/>
    <w:rsid w:val="00880CB3"/>
    <w:rsid w:val="008811F9"/>
    <w:rsid w:val="0088431E"/>
    <w:rsid w:val="008856BC"/>
    <w:rsid w:val="008866CA"/>
    <w:rsid w:val="0089639F"/>
    <w:rsid w:val="00896796"/>
    <w:rsid w:val="008A16B3"/>
    <w:rsid w:val="008A50F6"/>
    <w:rsid w:val="008A5908"/>
    <w:rsid w:val="008A7600"/>
    <w:rsid w:val="008B3E97"/>
    <w:rsid w:val="008B656D"/>
    <w:rsid w:val="008B737F"/>
    <w:rsid w:val="008C2234"/>
    <w:rsid w:val="008D11E3"/>
    <w:rsid w:val="008D3C8A"/>
    <w:rsid w:val="008D49BD"/>
    <w:rsid w:val="008D4B7C"/>
    <w:rsid w:val="008D55A7"/>
    <w:rsid w:val="008D7AA6"/>
    <w:rsid w:val="008E1EED"/>
    <w:rsid w:val="008E24C2"/>
    <w:rsid w:val="008E6255"/>
    <w:rsid w:val="008E6C3B"/>
    <w:rsid w:val="008F3646"/>
    <w:rsid w:val="008F4EC3"/>
    <w:rsid w:val="008F4FF8"/>
    <w:rsid w:val="008F630B"/>
    <w:rsid w:val="008F6D34"/>
    <w:rsid w:val="00902CE0"/>
    <w:rsid w:val="0091181D"/>
    <w:rsid w:val="00911E8C"/>
    <w:rsid w:val="0093124F"/>
    <w:rsid w:val="009371F1"/>
    <w:rsid w:val="00937A74"/>
    <w:rsid w:val="00947895"/>
    <w:rsid w:val="00947FF3"/>
    <w:rsid w:val="009503CB"/>
    <w:rsid w:val="0095108C"/>
    <w:rsid w:val="0095712F"/>
    <w:rsid w:val="009577DE"/>
    <w:rsid w:val="00960107"/>
    <w:rsid w:val="00961689"/>
    <w:rsid w:val="00966CCE"/>
    <w:rsid w:val="00970B33"/>
    <w:rsid w:val="00971764"/>
    <w:rsid w:val="00981FDF"/>
    <w:rsid w:val="00983D81"/>
    <w:rsid w:val="00983F80"/>
    <w:rsid w:val="009862AB"/>
    <w:rsid w:val="00990C82"/>
    <w:rsid w:val="00994FEF"/>
    <w:rsid w:val="009A09FB"/>
    <w:rsid w:val="009A494C"/>
    <w:rsid w:val="009A6141"/>
    <w:rsid w:val="009B1DE8"/>
    <w:rsid w:val="009B6ECA"/>
    <w:rsid w:val="009C04D3"/>
    <w:rsid w:val="009C320E"/>
    <w:rsid w:val="009D0F06"/>
    <w:rsid w:val="009D2427"/>
    <w:rsid w:val="009D3B37"/>
    <w:rsid w:val="009D60FD"/>
    <w:rsid w:val="009D73E6"/>
    <w:rsid w:val="009E3961"/>
    <w:rsid w:val="009E455C"/>
    <w:rsid w:val="009E4A91"/>
    <w:rsid w:val="009F0B79"/>
    <w:rsid w:val="009F301B"/>
    <w:rsid w:val="00A00086"/>
    <w:rsid w:val="00A0669A"/>
    <w:rsid w:val="00A07CA5"/>
    <w:rsid w:val="00A1024C"/>
    <w:rsid w:val="00A14C4B"/>
    <w:rsid w:val="00A16F66"/>
    <w:rsid w:val="00A1785A"/>
    <w:rsid w:val="00A17C2E"/>
    <w:rsid w:val="00A21331"/>
    <w:rsid w:val="00A24B65"/>
    <w:rsid w:val="00A326DF"/>
    <w:rsid w:val="00A33DB9"/>
    <w:rsid w:val="00A35FCB"/>
    <w:rsid w:val="00A3770F"/>
    <w:rsid w:val="00A37872"/>
    <w:rsid w:val="00A37AE1"/>
    <w:rsid w:val="00A42110"/>
    <w:rsid w:val="00A4212B"/>
    <w:rsid w:val="00A54768"/>
    <w:rsid w:val="00A61C5E"/>
    <w:rsid w:val="00A6214D"/>
    <w:rsid w:val="00A62C9C"/>
    <w:rsid w:val="00A63725"/>
    <w:rsid w:val="00A67252"/>
    <w:rsid w:val="00A74D90"/>
    <w:rsid w:val="00A75272"/>
    <w:rsid w:val="00A802E1"/>
    <w:rsid w:val="00A80580"/>
    <w:rsid w:val="00AA6DF4"/>
    <w:rsid w:val="00AA7C91"/>
    <w:rsid w:val="00AA7D48"/>
    <w:rsid w:val="00AB27E7"/>
    <w:rsid w:val="00AC28E0"/>
    <w:rsid w:val="00AC31B6"/>
    <w:rsid w:val="00AC4489"/>
    <w:rsid w:val="00AD45F8"/>
    <w:rsid w:val="00AD75B8"/>
    <w:rsid w:val="00AE07C1"/>
    <w:rsid w:val="00AE2F30"/>
    <w:rsid w:val="00AE4151"/>
    <w:rsid w:val="00AF1146"/>
    <w:rsid w:val="00AF291E"/>
    <w:rsid w:val="00AF4224"/>
    <w:rsid w:val="00AF6174"/>
    <w:rsid w:val="00AF7876"/>
    <w:rsid w:val="00B0335E"/>
    <w:rsid w:val="00B03902"/>
    <w:rsid w:val="00B0670F"/>
    <w:rsid w:val="00B10F84"/>
    <w:rsid w:val="00B11447"/>
    <w:rsid w:val="00B17B7F"/>
    <w:rsid w:val="00B225E7"/>
    <w:rsid w:val="00B30448"/>
    <w:rsid w:val="00B30CAB"/>
    <w:rsid w:val="00B325B8"/>
    <w:rsid w:val="00B33758"/>
    <w:rsid w:val="00B33F33"/>
    <w:rsid w:val="00B4090B"/>
    <w:rsid w:val="00B41472"/>
    <w:rsid w:val="00B427AE"/>
    <w:rsid w:val="00B451AC"/>
    <w:rsid w:val="00B451C8"/>
    <w:rsid w:val="00B53C08"/>
    <w:rsid w:val="00B54874"/>
    <w:rsid w:val="00B75EAB"/>
    <w:rsid w:val="00B764EE"/>
    <w:rsid w:val="00B77FAE"/>
    <w:rsid w:val="00B84859"/>
    <w:rsid w:val="00B8739D"/>
    <w:rsid w:val="00B91A8C"/>
    <w:rsid w:val="00B9573E"/>
    <w:rsid w:val="00BA2684"/>
    <w:rsid w:val="00BA2C1A"/>
    <w:rsid w:val="00BA2CC0"/>
    <w:rsid w:val="00BA518B"/>
    <w:rsid w:val="00BA6006"/>
    <w:rsid w:val="00BA68E2"/>
    <w:rsid w:val="00BB3A82"/>
    <w:rsid w:val="00BB7D03"/>
    <w:rsid w:val="00BC1C07"/>
    <w:rsid w:val="00BC46BE"/>
    <w:rsid w:val="00BC6DB6"/>
    <w:rsid w:val="00BD08BB"/>
    <w:rsid w:val="00BD3110"/>
    <w:rsid w:val="00BD4E4F"/>
    <w:rsid w:val="00BD5121"/>
    <w:rsid w:val="00BE1245"/>
    <w:rsid w:val="00BE37EE"/>
    <w:rsid w:val="00BE567E"/>
    <w:rsid w:val="00BF3517"/>
    <w:rsid w:val="00BF6001"/>
    <w:rsid w:val="00C00264"/>
    <w:rsid w:val="00C1234B"/>
    <w:rsid w:val="00C15D0F"/>
    <w:rsid w:val="00C226AA"/>
    <w:rsid w:val="00C32BDB"/>
    <w:rsid w:val="00C32E8D"/>
    <w:rsid w:val="00C33D4F"/>
    <w:rsid w:val="00C352E0"/>
    <w:rsid w:val="00C35A42"/>
    <w:rsid w:val="00C3767A"/>
    <w:rsid w:val="00C41C0E"/>
    <w:rsid w:val="00C4513D"/>
    <w:rsid w:val="00C560AE"/>
    <w:rsid w:val="00C6298D"/>
    <w:rsid w:val="00C641E7"/>
    <w:rsid w:val="00C64BAF"/>
    <w:rsid w:val="00C659A7"/>
    <w:rsid w:val="00C701D8"/>
    <w:rsid w:val="00C83CFB"/>
    <w:rsid w:val="00C85CE5"/>
    <w:rsid w:val="00C876DE"/>
    <w:rsid w:val="00C9246F"/>
    <w:rsid w:val="00C96598"/>
    <w:rsid w:val="00CA5545"/>
    <w:rsid w:val="00CA6F2E"/>
    <w:rsid w:val="00CB0F62"/>
    <w:rsid w:val="00CB52E4"/>
    <w:rsid w:val="00CC3D8A"/>
    <w:rsid w:val="00CC73A2"/>
    <w:rsid w:val="00CD2643"/>
    <w:rsid w:val="00CD370F"/>
    <w:rsid w:val="00CD3FFD"/>
    <w:rsid w:val="00CD5842"/>
    <w:rsid w:val="00CE04F4"/>
    <w:rsid w:val="00CE6266"/>
    <w:rsid w:val="00CE729C"/>
    <w:rsid w:val="00CF6A3E"/>
    <w:rsid w:val="00CF7B0D"/>
    <w:rsid w:val="00D055A9"/>
    <w:rsid w:val="00D06059"/>
    <w:rsid w:val="00D10C9B"/>
    <w:rsid w:val="00D10EE2"/>
    <w:rsid w:val="00D13944"/>
    <w:rsid w:val="00D20E67"/>
    <w:rsid w:val="00D21BB0"/>
    <w:rsid w:val="00D22904"/>
    <w:rsid w:val="00D273E6"/>
    <w:rsid w:val="00D3396B"/>
    <w:rsid w:val="00D343DA"/>
    <w:rsid w:val="00D35399"/>
    <w:rsid w:val="00D36A7D"/>
    <w:rsid w:val="00D40A13"/>
    <w:rsid w:val="00D41849"/>
    <w:rsid w:val="00D449F6"/>
    <w:rsid w:val="00D50B2A"/>
    <w:rsid w:val="00D5296F"/>
    <w:rsid w:val="00D5643E"/>
    <w:rsid w:val="00D61D03"/>
    <w:rsid w:val="00D62B61"/>
    <w:rsid w:val="00D62E09"/>
    <w:rsid w:val="00D63FF3"/>
    <w:rsid w:val="00D66370"/>
    <w:rsid w:val="00D675E9"/>
    <w:rsid w:val="00D72E9A"/>
    <w:rsid w:val="00D903D8"/>
    <w:rsid w:val="00D93001"/>
    <w:rsid w:val="00D93C5E"/>
    <w:rsid w:val="00D93E8A"/>
    <w:rsid w:val="00DA3D20"/>
    <w:rsid w:val="00DB1ABE"/>
    <w:rsid w:val="00DB641C"/>
    <w:rsid w:val="00DC04D6"/>
    <w:rsid w:val="00DC137E"/>
    <w:rsid w:val="00DC3310"/>
    <w:rsid w:val="00DC6560"/>
    <w:rsid w:val="00DC6BA5"/>
    <w:rsid w:val="00DD4F7E"/>
    <w:rsid w:val="00DD5044"/>
    <w:rsid w:val="00DD52E2"/>
    <w:rsid w:val="00DE0C6F"/>
    <w:rsid w:val="00DE2D11"/>
    <w:rsid w:val="00DE3F9F"/>
    <w:rsid w:val="00DE4F36"/>
    <w:rsid w:val="00DE7804"/>
    <w:rsid w:val="00DF0242"/>
    <w:rsid w:val="00DF2FA6"/>
    <w:rsid w:val="00DF318E"/>
    <w:rsid w:val="00DF4B38"/>
    <w:rsid w:val="00DF55DC"/>
    <w:rsid w:val="00DF62B5"/>
    <w:rsid w:val="00E04AC5"/>
    <w:rsid w:val="00E118DF"/>
    <w:rsid w:val="00E13A13"/>
    <w:rsid w:val="00E143F0"/>
    <w:rsid w:val="00E26F27"/>
    <w:rsid w:val="00E35D1F"/>
    <w:rsid w:val="00E46B8E"/>
    <w:rsid w:val="00E51C21"/>
    <w:rsid w:val="00E52D35"/>
    <w:rsid w:val="00E555BB"/>
    <w:rsid w:val="00E70744"/>
    <w:rsid w:val="00E71E12"/>
    <w:rsid w:val="00E72DD9"/>
    <w:rsid w:val="00E7512C"/>
    <w:rsid w:val="00E7523B"/>
    <w:rsid w:val="00E83011"/>
    <w:rsid w:val="00E8500D"/>
    <w:rsid w:val="00E86636"/>
    <w:rsid w:val="00E952D7"/>
    <w:rsid w:val="00E95F23"/>
    <w:rsid w:val="00E9751A"/>
    <w:rsid w:val="00EA39EF"/>
    <w:rsid w:val="00EA476C"/>
    <w:rsid w:val="00EA479D"/>
    <w:rsid w:val="00EA550B"/>
    <w:rsid w:val="00EB1A6D"/>
    <w:rsid w:val="00EB3F00"/>
    <w:rsid w:val="00EC1E7C"/>
    <w:rsid w:val="00ED394B"/>
    <w:rsid w:val="00EE2F07"/>
    <w:rsid w:val="00EE430E"/>
    <w:rsid w:val="00EF2F1D"/>
    <w:rsid w:val="00EF5981"/>
    <w:rsid w:val="00F00A83"/>
    <w:rsid w:val="00F01FB4"/>
    <w:rsid w:val="00F025CA"/>
    <w:rsid w:val="00F07092"/>
    <w:rsid w:val="00F1090D"/>
    <w:rsid w:val="00F12483"/>
    <w:rsid w:val="00F17C2D"/>
    <w:rsid w:val="00F22FD3"/>
    <w:rsid w:val="00F2341B"/>
    <w:rsid w:val="00F25855"/>
    <w:rsid w:val="00F27C77"/>
    <w:rsid w:val="00F30CB3"/>
    <w:rsid w:val="00F31CEB"/>
    <w:rsid w:val="00F342B4"/>
    <w:rsid w:val="00F34C7A"/>
    <w:rsid w:val="00F34EF3"/>
    <w:rsid w:val="00F40A84"/>
    <w:rsid w:val="00F43C15"/>
    <w:rsid w:val="00F45F9E"/>
    <w:rsid w:val="00F53F78"/>
    <w:rsid w:val="00F55537"/>
    <w:rsid w:val="00F57E84"/>
    <w:rsid w:val="00F665EC"/>
    <w:rsid w:val="00F67680"/>
    <w:rsid w:val="00F70BBD"/>
    <w:rsid w:val="00F70C0B"/>
    <w:rsid w:val="00F72D9B"/>
    <w:rsid w:val="00F8273E"/>
    <w:rsid w:val="00F84941"/>
    <w:rsid w:val="00F856CC"/>
    <w:rsid w:val="00F87892"/>
    <w:rsid w:val="00F91FD9"/>
    <w:rsid w:val="00F92BBD"/>
    <w:rsid w:val="00F959A1"/>
    <w:rsid w:val="00FB036F"/>
    <w:rsid w:val="00FB12C2"/>
    <w:rsid w:val="00FB38B5"/>
    <w:rsid w:val="00FB4FC6"/>
    <w:rsid w:val="00FC4F29"/>
    <w:rsid w:val="00FC61A3"/>
    <w:rsid w:val="00FC6C65"/>
    <w:rsid w:val="00FD5F05"/>
    <w:rsid w:val="00FE00D0"/>
    <w:rsid w:val="00FE074C"/>
    <w:rsid w:val="00FE51A6"/>
    <w:rsid w:val="09124970"/>
    <w:rsid w:val="23917BCB"/>
    <w:rsid w:val="2C2A465E"/>
    <w:rsid w:val="3CD259E2"/>
    <w:rsid w:val="40011D22"/>
    <w:rsid w:val="59B01758"/>
    <w:rsid w:val="FF7FDF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99" w:semiHidden="0"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99" w:semiHidden="0"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44"/>
    <w:qFormat/>
    <w:uiPriority w:val="9"/>
    <w:pPr>
      <w:keepNext/>
      <w:keepLines/>
      <w:spacing w:before="360" w:after="360"/>
      <w:jc w:val="center"/>
      <w:outlineLvl w:val="0"/>
    </w:pPr>
    <w:rPr>
      <w:rFonts w:eastAsia="华文中宋"/>
      <w:b/>
      <w:bCs/>
      <w:kern w:val="0"/>
      <w:sz w:val="32"/>
      <w:szCs w:val="44"/>
    </w:rPr>
  </w:style>
  <w:style w:type="paragraph" w:styleId="3">
    <w:name w:val="heading 2"/>
    <w:basedOn w:val="1"/>
    <w:next w:val="1"/>
    <w:link w:val="47"/>
    <w:qFormat/>
    <w:uiPriority w:val="0"/>
    <w:pPr>
      <w:keepNext/>
      <w:keepLines/>
      <w:spacing w:line="240" w:lineRule="atLeast"/>
      <w:jc w:val="center"/>
      <w:outlineLvl w:val="1"/>
    </w:pPr>
    <w:rPr>
      <w:rFonts w:ascii="宋体" w:hAnsi="宋体"/>
      <w:b/>
      <w:bCs/>
      <w:spacing w:val="3"/>
      <w:kern w:val="0"/>
      <w:sz w:val="32"/>
      <w:szCs w:val="32"/>
      <w:lang w:val="en-GB"/>
    </w:rPr>
  </w:style>
  <w:style w:type="paragraph" w:styleId="4">
    <w:name w:val="heading 3"/>
    <w:basedOn w:val="1"/>
    <w:link w:val="59"/>
    <w:qFormat/>
    <w:uiPriority w:val="0"/>
    <w:pPr>
      <w:widowControl/>
      <w:spacing w:before="100" w:beforeAutospacing="1" w:after="100" w:afterAutospacing="1"/>
      <w:jc w:val="left"/>
      <w:outlineLvl w:val="2"/>
    </w:pPr>
    <w:rPr>
      <w:rFonts w:ascii="宋体" w:hAnsi="宋体"/>
      <w:b/>
      <w:bCs/>
      <w:kern w:val="0"/>
      <w:sz w:val="27"/>
      <w:szCs w:val="27"/>
    </w:rPr>
  </w:style>
  <w:style w:type="paragraph" w:styleId="5">
    <w:name w:val="heading 4"/>
    <w:basedOn w:val="1"/>
    <w:link w:val="63"/>
    <w:qFormat/>
    <w:uiPriority w:val="0"/>
    <w:pPr>
      <w:widowControl/>
      <w:spacing w:before="100" w:beforeAutospacing="1" w:after="100" w:afterAutospacing="1"/>
      <w:jc w:val="left"/>
      <w:outlineLvl w:val="3"/>
    </w:pPr>
    <w:rPr>
      <w:rFonts w:ascii="宋体" w:hAnsi="宋体"/>
      <w:b/>
      <w:bCs/>
      <w:kern w:val="0"/>
      <w:sz w:val="24"/>
    </w:rPr>
  </w:style>
  <w:style w:type="paragraph" w:styleId="6">
    <w:name w:val="heading 8"/>
    <w:basedOn w:val="1"/>
    <w:next w:val="1"/>
    <w:link w:val="115"/>
    <w:qFormat/>
    <w:uiPriority w:val="9"/>
    <w:pPr>
      <w:keepNext/>
      <w:keepLines/>
      <w:spacing w:before="240" w:after="64" w:line="320" w:lineRule="auto"/>
      <w:outlineLvl w:val="7"/>
    </w:pPr>
    <w:rPr>
      <w:rFonts w:ascii="Cambria" w:hAnsi="Cambria"/>
      <w:sz w:val="24"/>
    </w:rPr>
  </w:style>
  <w:style w:type="character" w:default="1" w:styleId="38">
    <w:name w:val="Default Paragraph Font"/>
    <w:unhideWhenUsed/>
    <w:uiPriority w:val="1"/>
  </w:style>
  <w:style w:type="table" w:default="1" w:styleId="36">
    <w:name w:val="Normal Table"/>
    <w:semiHidden/>
    <w:unhideWhenUsed/>
    <w:qFormat/>
    <w:uiPriority w:val="99"/>
    <w:tblPr>
      <w:tblStyle w:val="36"/>
      <w:tblCellMar>
        <w:top w:w="0" w:type="dxa"/>
        <w:left w:w="108" w:type="dxa"/>
        <w:bottom w:w="0" w:type="dxa"/>
        <w:right w:w="108" w:type="dxa"/>
      </w:tblCellMar>
    </w:tblPr>
    <w:trPr>
      <w:wBefore w:w="0" w:type="dxa"/>
    </w:trPr>
  </w:style>
  <w:style w:type="paragraph" w:styleId="7">
    <w:name w:val="toc 7"/>
    <w:basedOn w:val="1"/>
    <w:next w:val="1"/>
    <w:uiPriority w:val="39"/>
    <w:pPr>
      <w:ind w:left="1260"/>
      <w:jc w:val="left"/>
    </w:pPr>
    <w:rPr>
      <w:szCs w:val="21"/>
    </w:rPr>
  </w:style>
  <w:style w:type="paragraph" w:styleId="8">
    <w:name w:val="Normal Indent"/>
    <w:basedOn w:val="1"/>
    <w:uiPriority w:val="0"/>
    <w:pPr>
      <w:ind w:firstLine="420" w:firstLineChars="200"/>
    </w:pPr>
    <w:rPr>
      <w:szCs w:val="20"/>
    </w:rPr>
  </w:style>
  <w:style w:type="paragraph" w:styleId="9">
    <w:name w:val="caption"/>
    <w:basedOn w:val="1"/>
    <w:qFormat/>
    <w:uiPriority w:val="0"/>
    <w:pPr>
      <w:widowControl/>
      <w:spacing w:before="100" w:beforeAutospacing="1" w:after="100" w:afterAutospacing="1"/>
      <w:jc w:val="left"/>
    </w:pPr>
    <w:rPr>
      <w:rFonts w:ascii="宋体" w:hAnsi="宋体" w:cs="宋体"/>
      <w:kern w:val="0"/>
      <w:sz w:val="24"/>
    </w:rPr>
  </w:style>
  <w:style w:type="paragraph" w:styleId="10">
    <w:name w:val="Document Map"/>
    <w:basedOn w:val="1"/>
    <w:link w:val="62"/>
    <w:semiHidden/>
    <w:uiPriority w:val="99"/>
    <w:pPr>
      <w:shd w:val="clear" w:color="auto" w:fill="000080"/>
    </w:pPr>
    <w:rPr>
      <w:kern w:val="0"/>
      <w:sz w:val="20"/>
    </w:rPr>
  </w:style>
  <w:style w:type="paragraph" w:styleId="11">
    <w:name w:val="annotation text"/>
    <w:basedOn w:val="1"/>
    <w:link w:val="66"/>
    <w:uiPriority w:val="0"/>
    <w:rPr>
      <w:kern w:val="0"/>
      <w:sz w:val="20"/>
      <w:szCs w:val="20"/>
    </w:rPr>
  </w:style>
  <w:style w:type="paragraph" w:styleId="12">
    <w:name w:val="Body Text 3"/>
    <w:basedOn w:val="1"/>
    <w:link w:val="46"/>
    <w:uiPriority w:val="0"/>
    <w:pPr>
      <w:spacing w:after="120"/>
    </w:pPr>
    <w:rPr>
      <w:kern w:val="0"/>
      <w:sz w:val="16"/>
      <w:szCs w:val="16"/>
    </w:rPr>
  </w:style>
  <w:style w:type="paragraph" w:styleId="13">
    <w:name w:val="Body Text"/>
    <w:basedOn w:val="1"/>
    <w:link w:val="67"/>
    <w:uiPriority w:val="0"/>
    <w:pPr>
      <w:widowControl/>
      <w:spacing w:before="100" w:beforeAutospacing="1" w:after="100" w:afterAutospacing="1" w:line="288" w:lineRule="auto"/>
      <w:jc w:val="left"/>
    </w:pPr>
    <w:rPr>
      <w:rFonts w:ascii="Arial" w:hAnsi="Arial"/>
      <w:kern w:val="0"/>
      <w:sz w:val="18"/>
      <w:szCs w:val="18"/>
    </w:rPr>
  </w:style>
  <w:style w:type="paragraph" w:styleId="14">
    <w:name w:val="Body Text Indent"/>
    <w:basedOn w:val="1"/>
    <w:link w:val="57"/>
    <w:uiPriority w:val="0"/>
    <w:pPr>
      <w:spacing w:after="120"/>
      <w:ind w:left="420" w:leftChars="200"/>
    </w:pPr>
    <w:rPr>
      <w:kern w:val="0"/>
      <w:sz w:val="20"/>
    </w:rPr>
  </w:style>
  <w:style w:type="paragraph" w:styleId="15">
    <w:name w:val="List 2"/>
    <w:basedOn w:val="1"/>
    <w:uiPriority w:val="0"/>
    <w:pPr>
      <w:ind w:left="100" w:leftChars="200" w:hanging="200" w:hangingChars="200"/>
    </w:pPr>
  </w:style>
  <w:style w:type="paragraph" w:styleId="16">
    <w:name w:val="toc 5"/>
    <w:basedOn w:val="1"/>
    <w:next w:val="1"/>
    <w:uiPriority w:val="39"/>
    <w:pPr>
      <w:ind w:left="840"/>
      <w:jc w:val="left"/>
    </w:pPr>
    <w:rPr>
      <w:szCs w:val="21"/>
    </w:rPr>
  </w:style>
  <w:style w:type="paragraph" w:styleId="17">
    <w:name w:val="toc 3"/>
    <w:basedOn w:val="1"/>
    <w:next w:val="1"/>
    <w:qFormat/>
    <w:uiPriority w:val="39"/>
    <w:pPr>
      <w:ind w:left="420"/>
      <w:jc w:val="left"/>
    </w:pPr>
    <w:rPr>
      <w:i/>
      <w:iCs/>
    </w:rPr>
  </w:style>
  <w:style w:type="paragraph" w:styleId="18">
    <w:name w:val="Plain Text"/>
    <w:basedOn w:val="1"/>
    <w:link w:val="48"/>
    <w:uiPriority w:val="99"/>
    <w:pPr>
      <w:widowControl/>
      <w:spacing w:before="100" w:beforeAutospacing="1" w:after="100" w:afterAutospacing="1"/>
      <w:jc w:val="left"/>
    </w:pPr>
    <w:rPr>
      <w:rFonts w:ascii="宋体" w:hAnsi="宋体"/>
      <w:kern w:val="0"/>
      <w:sz w:val="24"/>
    </w:rPr>
  </w:style>
  <w:style w:type="paragraph" w:styleId="19">
    <w:name w:val="toc 8"/>
    <w:basedOn w:val="1"/>
    <w:next w:val="1"/>
    <w:uiPriority w:val="39"/>
    <w:pPr>
      <w:ind w:left="1470"/>
      <w:jc w:val="left"/>
    </w:pPr>
    <w:rPr>
      <w:szCs w:val="21"/>
    </w:rPr>
  </w:style>
  <w:style w:type="paragraph" w:styleId="20">
    <w:name w:val="Date"/>
    <w:basedOn w:val="1"/>
    <w:next w:val="1"/>
    <w:link w:val="49"/>
    <w:uiPriority w:val="0"/>
    <w:pPr>
      <w:ind w:left="100" w:leftChars="2500"/>
    </w:pPr>
    <w:rPr>
      <w:rFonts w:eastAsia="仿宋_GB2312"/>
      <w:kern w:val="0"/>
      <w:sz w:val="28"/>
    </w:rPr>
  </w:style>
  <w:style w:type="paragraph" w:styleId="21">
    <w:name w:val="Body Text Indent 2"/>
    <w:basedOn w:val="1"/>
    <w:link w:val="78"/>
    <w:uiPriority w:val="0"/>
    <w:pPr>
      <w:spacing w:after="120" w:line="480" w:lineRule="auto"/>
      <w:ind w:left="420" w:leftChars="200"/>
    </w:pPr>
    <w:rPr>
      <w:kern w:val="0"/>
      <w:sz w:val="20"/>
    </w:rPr>
  </w:style>
  <w:style w:type="paragraph" w:styleId="22">
    <w:name w:val="Balloon Text"/>
    <w:basedOn w:val="1"/>
    <w:link w:val="71"/>
    <w:uiPriority w:val="0"/>
    <w:rPr>
      <w:kern w:val="0"/>
      <w:sz w:val="18"/>
      <w:szCs w:val="18"/>
    </w:rPr>
  </w:style>
  <w:style w:type="paragraph" w:styleId="23">
    <w:name w:val="footer"/>
    <w:basedOn w:val="1"/>
    <w:link w:val="68"/>
    <w:uiPriority w:val="99"/>
    <w:pPr>
      <w:tabs>
        <w:tab w:val="center" w:pos="4153"/>
        <w:tab w:val="right" w:pos="8306"/>
      </w:tabs>
      <w:snapToGrid w:val="0"/>
      <w:jc w:val="left"/>
    </w:pPr>
    <w:rPr>
      <w:kern w:val="0"/>
      <w:sz w:val="18"/>
      <w:szCs w:val="18"/>
    </w:rPr>
  </w:style>
  <w:style w:type="paragraph" w:styleId="24">
    <w:name w:val="header"/>
    <w:basedOn w:val="1"/>
    <w:link w:val="55"/>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pPr>
      <w:tabs>
        <w:tab w:val="right" w:leader="dot" w:pos="8392"/>
      </w:tabs>
      <w:spacing w:before="120" w:after="120" w:line="240" w:lineRule="atLeast"/>
      <w:jc w:val="center"/>
    </w:pPr>
    <w:rPr>
      <w:rFonts w:ascii="宋体" w:hAnsi="宋体" w:cs="仿宋_GB2312"/>
      <w:b/>
      <w:bCs/>
      <w:caps/>
      <w:sz w:val="24"/>
    </w:rPr>
  </w:style>
  <w:style w:type="paragraph" w:styleId="26">
    <w:name w:val="toc 4"/>
    <w:basedOn w:val="1"/>
    <w:next w:val="1"/>
    <w:uiPriority w:val="39"/>
    <w:pPr>
      <w:ind w:left="630"/>
      <w:jc w:val="left"/>
    </w:pPr>
    <w:rPr>
      <w:szCs w:val="21"/>
    </w:rPr>
  </w:style>
  <w:style w:type="paragraph" w:styleId="27">
    <w:name w:val="footnote text"/>
    <w:basedOn w:val="1"/>
    <w:link w:val="73"/>
    <w:uiPriority w:val="99"/>
    <w:pPr>
      <w:snapToGrid w:val="0"/>
      <w:jc w:val="left"/>
    </w:pPr>
    <w:rPr>
      <w:rFonts w:ascii="Calibri" w:hAnsi="Calibri"/>
      <w:kern w:val="0"/>
      <w:sz w:val="18"/>
      <w:szCs w:val="18"/>
    </w:rPr>
  </w:style>
  <w:style w:type="paragraph" w:styleId="28">
    <w:name w:val="toc 6"/>
    <w:basedOn w:val="1"/>
    <w:next w:val="1"/>
    <w:uiPriority w:val="39"/>
    <w:pPr>
      <w:ind w:left="1050"/>
      <w:jc w:val="left"/>
    </w:pPr>
    <w:rPr>
      <w:szCs w:val="21"/>
    </w:rPr>
  </w:style>
  <w:style w:type="paragraph" w:styleId="29">
    <w:name w:val="Body Text Indent 3"/>
    <w:basedOn w:val="1"/>
    <w:link w:val="45"/>
    <w:uiPriority w:val="0"/>
    <w:pPr>
      <w:spacing w:after="120"/>
      <w:ind w:left="420" w:leftChars="200"/>
    </w:pPr>
    <w:rPr>
      <w:kern w:val="0"/>
      <w:sz w:val="16"/>
      <w:szCs w:val="16"/>
    </w:rPr>
  </w:style>
  <w:style w:type="paragraph" w:styleId="30">
    <w:name w:val="toc 2"/>
    <w:basedOn w:val="1"/>
    <w:next w:val="1"/>
    <w:qFormat/>
    <w:uiPriority w:val="39"/>
    <w:pPr>
      <w:tabs>
        <w:tab w:val="right" w:leader="middleDot" w:pos="8392"/>
      </w:tabs>
      <w:ind w:firstLine="480" w:firstLineChars="200"/>
      <w:jc w:val="left"/>
    </w:pPr>
    <w:rPr>
      <w:rFonts w:ascii="仿宋_GB2312" w:hAnsi="黑体" w:eastAsia="仿宋_GB2312"/>
      <w:bCs/>
      <w:smallCaps/>
      <w:sz w:val="24"/>
    </w:rPr>
  </w:style>
  <w:style w:type="paragraph" w:styleId="31">
    <w:name w:val="toc 9"/>
    <w:basedOn w:val="1"/>
    <w:next w:val="1"/>
    <w:uiPriority w:val="39"/>
    <w:pPr>
      <w:ind w:left="1680"/>
      <w:jc w:val="left"/>
    </w:pPr>
    <w:rPr>
      <w:szCs w:val="21"/>
    </w:rPr>
  </w:style>
  <w:style w:type="paragraph" w:styleId="32">
    <w:name w:val="HTML Preformatted"/>
    <w:basedOn w:val="1"/>
    <w:link w:val="5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uiPriority w:val="99"/>
    <w:pPr>
      <w:widowControl/>
      <w:spacing w:before="100" w:beforeAutospacing="1" w:after="100" w:afterAutospacing="1"/>
      <w:jc w:val="left"/>
    </w:pPr>
    <w:rPr>
      <w:rFonts w:ascii="宋体" w:hAnsi="宋体"/>
      <w:kern w:val="0"/>
      <w:sz w:val="24"/>
    </w:rPr>
  </w:style>
  <w:style w:type="paragraph" w:styleId="34">
    <w:name w:val="Title"/>
    <w:basedOn w:val="1"/>
    <w:next w:val="1"/>
    <w:link w:val="69"/>
    <w:qFormat/>
    <w:uiPriority w:val="99"/>
    <w:pPr>
      <w:jc w:val="center"/>
    </w:pPr>
    <w:rPr>
      <w:rFonts w:ascii="宋体"/>
      <w:b/>
      <w:bCs/>
      <w:kern w:val="0"/>
      <w:sz w:val="36"/>
      <w:szCs w:val="36"/>
    </w:rPr>
  </w:style>
  <w:style w:type="paragraph" w:styleId="35">
    <w:name w:val="annotation subject"/>
    <w:basedOn w:val="11"/>
    <w:next w:val="11"/>
    <w:link w:val="76"/>
    <w:uiPriority w:val="99"/>
    <w:pPr>
      <w:jc w:val="left"/>
    </w:pPr>
    <w:rPr>
      <w:b/>
      <w:bCs/>
      <w:szCs w:val="21"/>
    </w:rPr>
  </w:style>
  <w:style w:type="table" w:styleId="37">
    <w:name w:val="Table Grid"/>
    <w:basedOn w:val="36"/>
    <w:uiPriority w:val="59"/>
    <w:pPr>
      <w:widowControl w:val="0"/>
      <w:jc w:val="both"/>
    </w:pPr>
    <w:rPr>
      <w:rFonts w:ascii="Times New Roman" w:hAnsi="Times New Roman"/>
    </w:r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rFonts w:hint="default" w:ascii="Arial" w:hAnsi="Arial" w:cs="Arial"/>
      <w:b/>
      <w:bCs/>
      <w:sz w:val="18"/>
      <w:szCs w:val="18"/>
    </w:rPr>
  </w:style>
  <w:style w:type="character" w:styleId="40">
    <w:name w:val="page number"/>
    <w:basedOn w:val="38"/>
    <w:uiPriority w:val="0"/>
  </w:style>
  <w:style w:type="character" w:styleId="41">
    <w:name w:val="Hyperlink"/>
    <w:uiPriority w:val="99"/>
    <w:rPr>
      <w:color w:val="0000FF"/>
      <w:u w:val="single"/>
    </w:rPr>
  </w:style>
  <w:style w:type="character" w:styleId="42">
    <w:name w:val="annotation reference"/>
    <w:unhideWhenUsed/>
    <w:uiPriority w:val="0"/>
    <w:rPr>
      <w:sz w:val="21"/>
      <w:szCs w:val="21"/>
    </w:rPr>
  </w:style>
  <w:style w:type="character" w:styleId="43">
    <w:name w:val="footnote reference"/>
    <w:uiPriority w:val="99"/>
    <w:rPr>
      <w:vertAlign w:val="superscript"/>
    </w:rPr>
  </w:style>
  <w:style w:type="character" w:customStyle="1" w:styleId="44">
    <w:name w:val="标题 1 Char"/>
    <w:link w:val="2"/>
    <w:uiPriority w:val="9"/>
    <w:rPr>
      <w:rFonts w:ascii="Times New Roman" w:hAnsi="Times New Roman" w:eastAsia="华文中宋" w:cs="Times New Roman"/>
      <w:b/>
      <w:bCs/>
      <w:kern w:val="0"/>
      <w:sz w:val="32"/>
      <w:szCs w:val="44"/>
    </w:rPr>
  </w:style>
  <w:style w:type="character" w:customStyle="1" w:styleId="45">
    <w:name w:val="正文文本缩进 3 Char"/>
    <w:link w:val="29"/>
    <w:uiPriority w:val="0"/>
    <w:rPr>
      <w:rFonts w:ascii="Times New Roman" w:hAnsi="Times New Roman" w:eastAsia="宋体" w:cs="Times New Roman"/>
      <w:sz w:val="16"/>
      <w:szCs w:val="16"/>
    </w:rPr>
  </w:style>
  <w:style w:type="character" w:customStyle="1" w:styleId="46">
    <w:name w:val="正文文本 3 Char"/>
    <w:link w:val="12"/>
    <w:uiPriority w:val="0"/>
    <w:rPr>
      <w:rFonts w:ascii="Times New Roman" w:hAnsi="Times New Roman" w:eastAsia="宋体" w:cs="Times New Roman"/>
      <w:sz w:val="16"/>
      <w:szCs w:val="16"/>
    </w:rPr>
  </w:style>
  <w:style w:type="character" w:customStyle="1" w:styleId="47">
    <w:name w:val="标题 2 Char"/>
    <w:link w:val="3"/>
    <w:uiPriority w:val="0"/>
    <w:rPr>
      <w:rFonts w:ascii="宋体" w:hAnsi="宋体" w:eastAsia="宋体" w:cs="黑体"/>
      <w:b/>
      <w:bCs/>
      <w:spacing w:val="3"/>
      <w:kern w:val="0"/>
      <w:sz w:val="32"/>
      <w:szCs w:val="32"/>
      <w:lang w:val="en-GB"/>
    </w:rPr>
  </w:style>
  <w:style w:type="character" w:customStyle="1" w:styleId="48">
    <w:name w:val="纯文本 Char"/>
    <w:link w:val="18"/>
    <w:uiPriority w:val="99"/>
    <w:rPr>
      <w:rFonts w:ascii="宋体" w:hAnsi="宋体" w:eastAsia="宋体" w:cs="Times New Roman"/>
      <w:kern w:val="0"/>
      <w:sz w:val="24"/>
      <w:szCs w:val="24"/>
    </w:rPr>
  </w:style>
  <w:style w:type="character" w:customStyle="1" w:styleId="49">
    <w:name w:val="日期 Char"/>
    <w:link w:val="20"/>
    <w:uiPriority w:val="0"/>
    <w:rPr>
      <w:rFonts w:ascii="Times New Roman" w:hAnsi="Times New Roman" w:eastAsia="仿宋_GB2312" w:cs="Times New Roman"/>
      <w:sz w:val="28"/>
      <w:szCs w:val="24"/>
    </w:rPr>
  </w:style>
  <w:style w:type="character" w:customStyle="1" w:styleId="50">
    <w:name w:val="headline-content"/>
    <w:basedOn w:val="38"/>
    <w:uiPriority w:val="0"/>
  </w:style>
  <w:style w:type="character" w:customStyle="1" w:styleId="51">
    <w:name w:val="HTML 预设格式 Char"/>
    <w:link w:val="32"/>
    <w:uiPriority w:val="0"/>
    <w:rPr>
      <w:rFonts w:ascii="宋体" w:hAnsi="宋体" w:eastAsia="宋体" w:cs="宋体"/>
      <w:kern w:val="0"/>
      <w:sz w:val="24"/>
      <w:szCs w:val="24"/>
    </w:rPr>
  </w:style>
  <w:style w:type="character" w:customStyle="1" w:styleId="52">
    <w:name w:val="样式1 Char"/>
    <w:uiPriority w:val="0"/>
    <w:rPr>
      <w:rFonts w:ascii="仿宋_GB2312" w:eastAsia="宋体"/>
      <w:b/>
      <w:kern w:val="2"/>
      <w:sz w:val="22"/>
      <w:szCs w:val="22"/>
      <w:lang w:val="en-US" w:eastAsia="zh-CN" w:bidi="ar-SA"/>
    </w:rPr>
  </w:style>
  <w:style w:type="character" w:customStyle="1" w:styleId="53">
    <w:name w:val="articlelink"/>
    <w:uiPriority w:val="0"/>
  </w:style>
  <w:style w:type="character" w:customStyle="1" w:styleId="54">
    <w:name w:val="short_text"/>
    <w:uiPriority w:val="0"/>
    <w:rPr>
      <w:rFonts w:cs="Times New Roman"/>
    </w:rPr>
  </w:style>
  <w:style w:type="character" w:customStyle="1" w:styleId="55">
    <w:name w:val="页眉 Char"/>
    <w:link w:val="24"/>
    <w:uiPriority w:val="99"/>
    <w:rPr>
      <w:rFonts w:ascii="Times New Roman" w:hAnsi="Times New Roman" w:eastAsia="宋体" w:cs="Times New Roman"/>
      <w:sz w:val="18"/>
      <w:szCs w:val="18"/>
    </w:rPr>
  </w:style>
  <w:style w:type="character" w:customStyle="1" w:styleId="56">
    <w:name w:val="wb_fb_info13"/>
    <w:uiPriority w:val="0"/>
  </w:style>
  <w:style w:type="character" w:customStyle="1" w:styleId="57">
    <w:name w:val="正文文本缩进 Char"/>
    <w:link w:val="14"/>
    <w:uiPriority w:val="0"/>
    <w:rPr>
      <w:rFonts w:ascii="Times New Roman" w:hAnsi="Times New Roman" w:eastAsia="宋体" w:cs="Times New Roman"/>
      <w:szCs w:val="24"/>
    </w:rPr>
  </w:style>
  <w:style w:type="character" w:customStyle="1" w:styleId="58">
    <w:name w:val="dash6b63_6587__char1"/>
    <w:uiPriority w:val="0"/>
    <w:rPr>
      <w:rFonts w:hint="default" w:ascii="Calibri" w:hAnsi="Calibri"/>
      <w:sz w:val="20"/>
      <w:szCs w:val="20"/>
    </w:rPr>
  </w:style>
  <w:style w:type="character" w:customStyle="1" w:styleId="59">
    <w:name w:val="标题 3 Char"/>
    <w:link w:val="4"/>
    <w:uiPriority w:val="0"/>
    <w:rPr>
      <w:rFonts w:ascii="宋体" w:hAnsi="宋体" w:eastAsia="宋体" w:cs="Times New Roman"/>
      <w:b/>
      <w:bCs/>
      <w:kern w:val="0"/>
      <w:sz w:val="27"/>
      <w:szCs w:val="27"/>
    </w:rPr>
  </w:style>
  <w:style w:type="character" w:customStyle="1" w:styleId="60">
    <w:name w:val="列出段落 Char"/>
    <w:link w:val="61"/>
    <w:uiPriority w:val="34"/>
    <w:rPr>
      <w:rFonts w:ascii="Calibri" w:hAnsi="Calibri" w:eastAsia="宋体" w:cs="Times New Roman"/>
      <w:szCs w:val="21"/>
    </w:rPr>
  </w:style>
  <w:style w:type="paragraph" w:styleId="61">
    <w:name w:val="List Paragraph"/>
    <w:basedOn w:val="1"/>
    <w:link w:val="60"/>
    <w:qFormat/>
    <w:uiPriority w:val="34"/>
    <w:pPr>
      <w:ind w:firstLine="420" w:firstLineChars="200"/>
    </w:pPr>
    <w:rPr>
      <w:rFonts w:ascii="Calibri" w:hAnsi="Calibri"/>
      <w:kern w:val="0"/>
      <w:sz w:val="20"/>
      <w:szCs w:val="21"/>
    </w:rPr>
  </w:style>
  <w:style w:type="character" w:customStyle="1" w:styleId="62">
    <w:name w:val="文档结构图 Char"/>
    <w:link w:val="10"/>
    <w:semiHidden/>
    <w:uiPriority w:val="99"/>
    <w:rPr>
      <w:rFonts w:ascii="Times New Roman" w:hAnsi="Times New Roman" w:eastAsia="宋体" w:cs="Times New Roman"/>
      <w:szCs w:val="24"/>
      <w:shd w:val="clear" w:color="auto" w:fill="000080"/>
    </w:rPr>
  </w:style>
  <w:style w:type="character" w:customStyle="1" w:styleId="63">
    <w:name w:val="标题 4 Char"/>
    <w:link w:val="5"/>
    <w:uiPriority w:val="0"/>
    <w:rPr>
      <w:rFonts w:ascii="宋体" w:hAnsi="宋体" w:eastAsia="宋体" w:cs="Times New Roman"/>
      <w:b/>
      <w:bCs/>
      <w:kern w:val="0"/>
      <w:sz w:val="24"/>
      <w:szCs w:val="24"/>
    </w:rPr>
  </w:style>
  <w:style w:type="character" w:customStyle="1" w:styleId="64">
    <w:name w:val="pfont1"/>
    <w:uiPriority w:val="0"/>
    <w:rPr>
      <w:spacing w:val="288"/>
      <w:sz w:val="22"/>
      <w:szCs w:val="22"/>
    </w:rPr>
  </w:style>
  <w:style w:type="character" w:customStyle="1" w:styleId="65">
    <w:name w:val="atn"/>
    <w:uiPriority w:val="0"/>
    <w:rPr>
      <w:rFonts w:cs="Times New Roman"/>
    </w:rPr>
  </w:style>
  <w:style w:type="character" w:customStyle="1" w:styleId="66">
    <w:name w:val="批注文字 Char"/>
    <w:link w:val="11"/>
    <w:uiPriority w:val="0"/>
    <w:rPr>
      <w:rFonts w:ascii="Times New Roman" w:hAnsi="Times New Roman" w:eastAsia="宋体" w:cs="Times New Roman"/>
      <w:sz w:val="20"/>
      <w:szCs w:val="20"/>
    </w:rPr>
  </w:style>
  <w:style w:type="character" w:customStyle="1" w:styleId="67">
    <w:name w:val="正文文本 Char"/>
    <w:link w:val="13"/>
    <w:uiPriority w:val="0"/>
    <w:rPr>
      <w:rFonts w:ascii="Arial" w:hAnsi="Arial" w:eastAsia="宋体" w:cs="Arial"/>
      <w:kern w:val="0"/>
      <w:sz w:val="18"/>
      <w:szCs w:val="18"/>
    </w:rPr>
  </w:style>
  <w:style w:type="character" w:customStyle="1" w:styleId="68">
    <w:name w:val="页脚 Char"/>
    <w:link w:val="23"/>
    <w:uiPriority w:val="99"/>
    <w:rPr>
      <w:rFonts w:ascii="Times New Roman" w:hAnsi="Times New Roman" w:eastAsia="宋体" w:cs="Times New Roman"/>
      <w:sz w:val="18"/>
      <w:szCs w:val="18"/>
    </w:rPr>
  </w:style>
  <w:style w:type="character" w:customStyle="1" w:styleId="69">
    <w:name w:val="标题 Char"/>
    <w:link w:val="34"/>
    <w:uiPriority w:val="99"/>
    <w:rPr>
      <w:rFonts w:ascii="宋体" w:hAnsi="Times New Roman" w:eastAsia="宋体" w:cs="宋体"/>
      <w:b/>
      <w:bCs/>
      <w:kern w:val="0"/>
      <w:sz w:val="36"/>
      <w:szCs w:val="36"/>
    </w:rPr>
  </w:style>
  <w:style w:type="character" w:customStyle="1" w:styleId="70">
    <w:name w:val="source"/>
    <w:uiPriority w:val="0"/>
  </w:style>
  <w:style w:type="character" w:customStyle="1" w:styleId="71">
    <w:name w:val="批注框文本 Char"/>
    <w:link w:val="22"/>
    <w:uiPriority w:val="0"/>
    <w:rPr>
      <w:rFonts w:ascii="Times New Roman" w:hAnsi="Times New Roman" w:eastAsia="宋体" w:cs="Times New Roman"/>
      <w:sz w:val="18"/>
      <w:szCs w:val="18"/>
    </w:rPr>
  </w:style>
  <w:style w:type="character" w:customStyle="1" w:styleId="72">
    <w:name w:val="medium_text1"/>
    <w:uiPriority w:val="0"/>
    <w:rPr>
      <w:sz w:val="22"/>
      <w:szCs w:val="22"/>
    </w:rPr>
  </w:style>
  <w:style w:type="character" w:customStyle="1" w:styleId="73">
    <w:name w:val="脚注文本 Char"/>
    <w:link w:val="27"/>
    <w:uiPriority w:val="99"/>
    <w:rPr>
      <w:rFonts w:ascii="Calibri" w:hAnsi="Calibri" w:eastAsia="宋体" w:cs="Times New Roman"/>
      <w:sz w:val="18"/>
      <w:szCs w:val="18"/>
    </w:rPr>
  </w:style>
  <w:style w:type="character" w:customStyle="1" w:styleId="74">
    <w:name w:val="lan121"/>
    <w:uiPriority w:val="0"/>
    <w:rPr>
      <w:color w:val="1E62A8"/>
      <w:sz w:val="14"/>
      <w:szCs w:val="14"/>
      <w:u w:val="none"/>
    </w:rPr>
  </w:style>
  <w:style w:type="character" w:customStyle="1" w:styleId="75">
    <w:name w:val="bigboldorange"/>
    <w:basedOn w:val="38"/>
    <w:uiPriority w:val="0"/>
  </w:style>
  <w:style w:type="character" w:customStyle="1" w:styleId="76">
    <w:name w:val="批注主题 Char"/>
    <w:link w:val="35"/>
    <w:uiPriority w:val="99"/>
    <w:rPr>
      <w:rFonts w:ascii="Times New Roman" w:hAnsi="Times New Roman" w:eastAsia="宋体" w:cs="Times New Roman"/>
      <w:b/>
      <w:bCs/>
      <w:sz w:val="20"/>
      <w:szCs w:val="21"/>
    </w:rPr>
  </w:style>
  <w:style w:type="character" w:customStyle="1" w:styleId="77">
    <w:name w:val="样式 仿宋_GB2312 小三"/>
    <w:uiPriority w:val="0"/>
    <w:rPr>
      <w:rFonts w:ascii="仿宋_GB2312" w:hAnsi="仿宋_GB2312" w:eastAsia="仿宋_GB2312"/>
      <w:sz w:val="30"/>
    </w:rPr>
  </w:style>
  <w:style w:type="character" w:customStyle="1" w:styleId="78">
    <w:name w:val="正文文本缩进 2 Char"/>
    <w:link w:val="21"/>
    <w:uiPriority w:val="0"/>
    <w:rPr>
      <w:rFonts w:ascii="Times New Roman" w:hAnsi="Times New Roman" w:eastAsia="宋体" w:cs="Times New Roman"/>
      <w:szCs w:val="24"/>
    </w:rPr>
  </w:style>
  <w:style w:type="paragraph" w:customStyle="1" w:styleId="79">
    <w:name w:val="zhang"/>
    <w:basedOn w:val="1"/>
    <w:uiPriority w:val="0"/>
    <w:pPr>
      <w:widowControl/>
      <w:spacing w:beforeAutospacing="1" w:afterAutospacing="1"/>
      <w:jc w:val="left"/>
    </w:pPr>
    <w:rPr>
      <w:rFonts w:hint="eastAsia" w:ascii="宋体" w:hAnsi="宋体"/>
      <w:b/>
      <w:smallCaps/>
      <w:color w:val="000000"/>
      <w:kern w:val="0"/>
      <w:szCs w:val="21"/>
    </w:rPr>
  </w:style>
  <w:style w:type="paragraph" w:customStyle="1" w:styleId="80">
    <w:name w:val="Level 2"/>
    <w:basedOn w:val="1"/>
    <w:uiPriority w:val="0"/>
    <w:pPr>
      <w:tabs>
        <w:tab w:val="left" w:pos="1200"/>
      </w:tabs>
      <w:autoSpaceDE w:val="0"/>
      <w:autoSpaceDN w:val="0"/>
      <w:snapToGrid w:val="0"/>
      <w:spacing w:beforeLines="50" w:afterLines="50" w:line="360" w:lineRule="auto"/>
      <w:ind w:left="1200" w:hanging="1200"/>
      <w:jc w:val="left"/>
    </w:pPr>
    <w:rPr>
      <w:rFonts w:ascii="仿宋_GB2312" w:hAnsi="宋体" w:eastAsia="仿宋_GB2312" w:cs="仿宋_GB2312"/>
      <w:color w:val="000000"/>
      <w:kern w:val="0"/>
      <w:sz w:val="32"/>
      <w:szCs w:val="32"/>
    </w:rPr>
  </w:style>
  <w:style w:type="paragraph" w:customStyle="1" w:styleId="81">
    <w:name w:val="正文１"/>
    <w:uiPriority w:val="0"/>
    <w:pPr>
      <w:adjustRightInd w:val="0"/>
      <w:snapToGrid w:val="0"/>
      <w:spacing w:line="360" w:lineRule="auto"/>
      <w:ind w:firstLine="200" w:firstLineChars="200"/>
    </w:pPr>
    <w:rPr>
      <w:rFonts w:ascii="Arial Narrow" w:hAnsi="Arial Narrow" w:eastAsia="仿宋_GB2312"/>
      <w:color w:val="000000"/>
      <w:sz w:val="24"/>
      <w:lang w:val="en-US" w:eastAsia="zh-CN" w:bidi="ar-SA"/>
    </w:rPr>
  </w:style>
  <w:style w:type="paragraph" w:customStyle="1" w:styleId="82">
    <w:name w:val="style1"/>
    <w:basedOn w:val="1"/>
    <w:uiPriority w:val="0"/>
    <w:pPr>
      <w:widowControl/>
      <w:spacing w:before="100" w:beforeAutospacing="1" w:after="100" w:afterAutospacing="1" w:line="288" w:lineRule="auto"/>
      <w:jc w:val="left"/>
    </w:pPr>
    <w:rPr>
      <w:rFonts w:ascii="Arial" w:hAnsi="Arial" w:cs="Arial"/>
      <w:b/>
      <w:bCs/>
      <w:kern w:val="0"/>
      <w:sz w:val="27"/>
      <w:szCs w:val="27"/>
    </w:rPr>
  </w:style>
  <w:style w:type="paragraph" w:styleId="83">
    <w:name w:val="No Spacing"/>
    <w:qFormat/>
    <w:uiPriority w:val="1"/>
    <w:pPr>
      <w:jc w:val="both"/>
    </w:pPr>
    <w:rPr>
      <w:rFonts w:ascii="Times New Roman" w:hAnsi="Times New Roman" w:eastAsia="PMingLiU"/>
      <w:sz w:val="22"/>
      <w:szCs w:val="22"/>
      <w:lang w:val="en-GB" w:eastAsia="zh-TW" w:bidi="ar-SA"/>
    </w:rPr>
  </w:style>
  <w:style w:type="paragraph" w:customStyle="1" w:styleId="84">
    <w:name w:val="列出段落1"/>
    <w:basedOn w:val="1"/>
    <w:qFormat/>
    <w:uiPriority w:val="99"/>
    <w:pPr>
      <w:ind w:firstLine="420" w:firstLineChars="200"/>
    </w:pPr>
  </w:style>
  <w:style w:type="paragraph" w:customStyle="1" w:styleId="85">
    <w:name w:val="正文文本缩进 31"/>
    <w:basedOn w:val="1"/>
    <w:uiPriority w:val="0"/>
    <w:pPr>
      <w:spacing w:line="336" w:lineRule="auto"/>
      <w:ind w:firstLine="560" w:firstLineChars="200"/>
    </w:pPr>
    <w:rPr>
      <w:rFonts w:ascii="仿宋_GB2312" w:hAnsi="宋体" w:eastAsia="仿宋_GB2312"/>
      <w:kern w:val="0"/>
      <w:sz w:val="28"/>
      <w:szCs w:val="28"/>
    </w:rPr>
  </w:style>
  <w:style w:type="paragraph" w:customStyle="1" w:styleId="86">
    <w:name w:val="msolistparagraph"/>
    <w:basedOn w:val="1"/>
    <w:uiPriority w:val="0"/>
    <w:pPr>
      <w:widowControl/>
      <w:spacing w:after="200" w:line="276" w:lineRule="auto"/>
      <w:ind w:left="720"/>
      <w:contextualSpacing/>
      <w:jc w:val="left"/>
    </w:pPr>
    <w:rPr>
      <w:rFonts w:ascii="Calibri" w:hAnsi="Calibri" w:cs="宋体"/>
      <w:kern w:val="0"/>
      <w:sz w:val="22"/>
      <w:szCs w:val="22"/>
    </w:rPr>
  </w:style>
  <w:style w:type="paragraph" w:customStyle="1" w:styleId="87">
    <w:name w:val="dash6b63_6587"/>
    <w:basedOn w:val="1"/>
    <w:uiPriority w:val="0"/>
    <w:pPr>
      <w:widowControl/>
      <w:spacing w:line="360" w:lineRule="auto"/>
      <w:ind w:firstLine="200" w:firstLineChars="200"/>
    </w:pPr>
    <w:rPr>
      <w:rFonts w:ascii="Calibri" w:hAnsi="Calibri" w:cs="宋体"/>
      <w:kern w:val="0"/>
      <w:sz w:val="20"/>
      <w:szCs w:val="20"/>
    </w:rPr>
  </w:style>
  <w:style w:type="paragraph" w:customStyle="1" w:styleId="88">
    <w:name w:val="Central Title"/>
    <w:basedOn w:val="1"/>
    <w:uiPriority w:val="0"/>
    <w:pPr>
      <w:autoSpaceDE w:val="0"/>
      <w:autoSpaceDN w:val="0"/>
      <w:snapToGrid w:val="0"/>
      <w:spacing w:beforeLines="50" w:afterLines="50" w:line="360" w:lineRule="auto"/>
      <w:jc w:val="center"/>
    </w:pPr>
    <w:rPr>
      <w:rFonts w:ascii="华文中宋" w:hAnsi="华文中宋" w:eastAsia="华文中宋" w:cs="华文中宋"/>
      <w:b/>
      <w:bCs/>
      <w:sz w:val="36"/>
      <w:szCs w:val="36"/>
    </w:rPr>
  </w:style>
  <w:style w:type="paragraph" w:customStyle="1" w:styleId="89">
    <w:name w:val="作者"/>
    <w:basedOn w:val="1"/>
    <w:qFormat/>
    <w:uiPriority w:val="0"/>
    <w:pPr>
      <w:spacing w:line="360" w:lineRule="auto"/>
      <w:jc w:val="center"/>
    </w:pPr>
    <w:rPr>
      <w:rFonts w:ascii="仿宋_GB2312" w:hAnsi="Calibri" w:eastAsia="仿宋_GB2312"/>
      <w:sz w:val="32"/>
      <w:szCs w:val="32"/>
    </w:rPr>
  </w:style>
  <w:style w:type="paragraph" w:customStyle="1" w:styleId="90">
    <w:name w:val="列出段落2"/>
    <w:uiPriority w:val="0"/>
    <w:pPr>
      <w:ind w:firstLine="420" w:firstLineChars="200"/>
    </w:pPr>
    <w:rPr>
      <w:rFonts w:ascii="Times New Roman" w:hAnsi="Times New Roman"/>
      <w:lang w:val="en-US" w:eastAsia="zh-CN" w:bidi="ar-SA"/>
    </w:rPr>
  </w:style>
  <w:style w:type="paragraph" w:customStyle="1" w:styleId="91">
    <w:name w:val="listparagraph"/>
    <w:basedOn w:val="1"/>
    <w:uiPriority w:val="0"/>
    <w:pPr>
      <w:widowControl/>
      <w:jc w:val="left"/>
    </w:pPr>
    <w:rPr>
      <w:rFonts w:ascii="宋体" w:hAnsi="宋体" w:cs="宋体"/>
      <w:kern w:val="0"/>
      <w:sz w:val="24"/>
    </w:rPr>
  </w:style>
  <w:style w:type="paragraph" w:customStyle="1" w:styleId="92">
    <w:name w:val="正文 New"/>
    <w:uiPriority w:val="0"/>
    <w:pPr>
      <w:widowControl w:val="0"/>
      <w:jc w:val="both"/>
    </w:pPr>
    <w:rPr>
      <w:kern w:val="2"/>
      <w:sz w:val="21"/>
      <w:szCs w:val="22"/>
      <w:lang w:val="en-US" w:eastAsia="zh-CN" w:bidi="ar-SA"/>
    </w:rPr>
  </w:style>
  <w:style w:type="paragraph" w:customStyle="1" w:styleId="93">
    <w:name w:val="Char"/>
    <w:basedOn w:val="1"/>
    <w:uiPriority w:val="0"/>
  </w:style>
  <w:style w:type="paragraph" w:customStyle="1" w:styleId="94">
    <w:name w:val="样式1"/>
    <w:basedOn w:val="1"/>
    <w:uiPriority w:val="0"/>
    <w:pPr>
      <w:snapToGrid w:val="0"/>
      <w:spacing w:line="360" w:lineRule="auto"/>
      <w:ind w:firstLine="442" w:firstLineChars="200"/>
    </w:pPr>
    <w:rPr>
      <w:rFonts w:ascii="仿宋_GB2312"/>
      <w:b/>
      <w:sz w:val="22"/>
      <w:szCs w:val="22"/>
    </w:rPr>
  </w:style>
  <w:style w:type="paragraph" w:styleId="95">
    <w:name w:val=""/>
    <w:basedOn w:val="2"/>
    <w:next w:val="1"/>
    <w:qFormat/>
    <w:uiPriority w:val="0"/>
    <w:pPr>
      <w:widowControl/>
      <w:spacing w:before="480" w:after="0" w:line="276" w:lineRule="auto"/>
      <w:jc w:val="left"/>
      <w:outlineLvl w:val="9"/>
    </w:pPr>
    <w:rPr>
      <w:rFonts w:ascii="Cambria" w:hAnsi="Cambria" w:eastAsia="宋体"/>
      <w:color w:val="365F91"/>
      <w:sz w:val="28"/>
      <w:szCs w:val="28"/>
    </w:rPr>
  </w:style>
  <w:style w:type="paragraph" w:customStyle="1" w:styleId="96">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97">
    <w:name w:val="151"/>
    <w:basedOn w:val="1"/>
    <w:uiPriority w:val="0"/>
    <w:pPr>
      <w:widowControl/>
      <w:jc w:val="left"/>
    </w:pPr>
    <w:rPr>
      <w:rFonts w:ascii="宋体" w:hAnsi="宋体" w:cs="宋体"/>
      <w:kern w:val="0"/>
      <w:sz w:val="24"/>
    </w:rPr>
  </w:style>
  <w:style w:type="paragraph" w:customStyle="1" w:styleId="98">
    <w:name w:val="普通(网站)1"/>
    <w:basedOn w:val="1"/>
    <w:uiPriority w:val="0"/>
    <w:pPr>
      <w:widowControl/>
      <w:spacing w:before="100" w:beforeAutospacing="1" w:after="100" w:afterAutospacing="1"/>
      <w:jc w:val="left"/>
    </w:pPr>
    <w:rPr>
      <w:rFonts w:ascii="宋体" w:hAnsi="宋体"/>
      <w:kern w:val="0"/>
      <w:sz w:val="24"/>
      <w:szCs w:val="20"/>
    </w:rPr>
  </w:style>
  <w:style w:type="paragraph" w:customStyle="1" w:styleId="99">
    <w:name w:val="条一字符"/>
    <w:basedOn w:val="100"/>
    <w:uiPriority w:val="0"/>
    <w:pPr>
      <w:tabs>
        <w:tab w:val="left" w:pos="420"/>
      </w:tabs>
      <w:ind w:left="0" w:firstLine="0"/>
    </w:pPr>
    <w:rPr>
      <w:rFonts w:ascii="仿宋_GB2312" w:eastAsia="仿宋_GB2312" w:cs="仿宋_GB2312"/>
      <w:sz w:val="28"/>
      <w:szCs w:val="28"/>
    </w:rPr>
  </w:style>
  <w:style w:type="paragraph" w:customStyle="1" w:styleId="100">
    <w:name w:val="序号一二"/>
    <w:basedOn w:val="1"/>
    <w:uiPriority w:val="0"/>
    <w:pPr>
      <w:tabs>
        <w:tab w:val="left" w:pos="420"/>
      </w:tabs>
      <w:ind w:left="720" w:hanging="720"/>
    </w:pPr>
    <w:rPr>
      <w:szCs w:val="21"/>
    </w:rPr>
  </w:style>
  <w:style w:type="paragraph" w:styleId="101">
    <w:name w:val=""/>
    <w:semiHidden/>
    <w:uiPriority w:val="99"/>
    <w:rPr>
      <w:rFonts w:cs="Calibri"/>
      <w:kern w:val="2"/>
      <w:sz w:val="21"/>
      <w:szCs w:val="21"/>
      <w:lang w:val="en-US" w:eastAsia="zh-CN" w:bidi="ar-SA"/>
    </w:rPr>
  </w:style>
  <w:style w:type="paragraph" w:customStyle="1" w:styleId="102">
    <w:name w:val="p0"/>
    <w:basedOn w:val="1"/>
    <w:uiPriority w:val="0"/>
    <w:pPr>
      <w:widowControl/>
      <w:spacing w:line="360" w:lineRule="auto"/>
      <w:ind w:firstLine="420"/>
      <w:jc w:val="left"/>
    </w:pPr>
    <w:rPr>
      <w:kern w:val="0"/>
      <w:szCs w:val="21"/>
    </w:rPr>
  </w:style>
  <w:style w:type="paragraph" w:customStyle="1" w:styleId="103">
    <w:name w:val="a1"/>
    <w:basedOn w:val="1"/>
    <w:uiPriority w:val="0"/>
    <w:pPr>
      <w:widowControl/>
      <w:ind w:firstLine="420"/>
    </w:pPr>
    <w:rPr>
      <w:rFonts w:ascii="Calibri" w:hAnsi="Calibri" w:cs="Calibri"/>
      <w:kern w:val="0"/>
      <w:szCs w:val="21"/>
    </w:rPr>
  </w:style>
  <w:style w:type="paragraph" w:customStyle="1" w:styleId="104">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Char Char Char Char"/>
    <w:basedOn w:val="1"/>
    <w:uiPriority w:val="0"/>
    <w:pPr>
      <w:tabs>
        <w:tab w:val="left" w:pos="840"/>
      </w:tabs>
      <w:adjustRightInd w:val="0"/>
      <w:spacing w:line="360" w:lineRule="atLeast"/>
      <w:ind w:left="840" w:hanging="360"/>
      <w:textAlignment w:val="baseline"/>
    </w:pPr>
    <w:rPr>
      <w:sz w:val="24"/>
    </w:rPr>
  </w:style>
  <w:style w:type="paragraph" w:customStyle="1" w:styleId="106">
    <w:name w:val="Char Char Char Char Char Char Char"/>
    <w:basedOn w:val="1"/>
    <w:uiPriority w:val="0"/>
    <w:pPr>
      <w:tabs>
        <w:tab w:val="left" w:pos="360"/>
      </w:tabs>
    </w:pPr>
    <w:rPr>
      <w:sz w:val="24"/>
    </w:rPr>
  </w:style>
  <w:style w:type="paragraph" w:customStyle="1" w:styleId="107">
    <w:name w:val="默认段落字体 Para Char Char Char Char Char Char Char Char Char1 Char Char Char Char Char Char Char"/>
    <w:basedOn w:val="10"/>
    <w:uiPriority w:val="0"/>
    <w:rPr>
      <w:rFonts w:ascii="仿宋_GB2312" w:eastAsia="仿宋_GB2312"/>
      <w:sz w:val="28"/>
      <w:szCs w:val="20"/>
    </w:rPr>
  </w:style>
  <w:style w:type="paragraph" w:customStyle="1" w:styleId="108">
    <w:name w:val="Char Char1"/>
    <w:basedOn w:val="10"/>
    <w:uiPriority w:val="0"/>
    <w:rPr>
      <w:rFonts w:ascii="Tahoma" w:hAnsi="Tahoma"/>
      <w:sz w:val="24"/>
    </w:rPr>
  </w:style>
  <w:style w:type="paragraph" w:customStyle="1" w:styleId="109">
    <w:name w:val="中等深浅网格 1 - 强调文字颜色 21"/>
    <w:basedOn w:val="1"/>
    <w:uiPriority w:val="0"/>
    <w:pPr>
      <w:ind w:firstLine="420" w:firstLineChars="200"/>
    </w:pPr>
    <w:rPr>
      <w:rFonts w:ascii="Calibri" w:hAnsi="Calibri"/>
      <w:szCs w:val="22"/>
    </w:rPr>
  </w:style>
  <w:style w:type="paragraph" w:customStyle="1" w:styleId="110">
    <w:name w:val="大大标题"/>
    <w:basedOn w:val="1"/>
    <w:qFormat/>
    <w:uiPriority w:val="0"/>
    <w:pPr>
      <w:spacing w:line="360" w:lineRule="auto"/>
      <w:jc w:val="center"/>
    </w:pPr>
    <w:rPr>
      <w:rFonts w:ascii="华文中宋" w:hAnsi="华文中宋" w:eastAsia="华文中宋"/>
      <w:b/>
      <w:sz w:val="36"/>
      <w:szCs w:val="36"/>
    </w:rPr>
  </w:style>
  <w:style w:type="paragraph" w:customStyle="1" w:styleId="111">
    <w:name w:val="默认段落字体 Para Char"/>
    <w:basedOn w:val="1"/>
    <w:uiPriority w:val="0"/>
    <w:pPr>
      <w:tabs>
        <w:tab w:val="left" w:pos="360"/>
      </w:tabs>
      <w:spacing w:before="312" w:after="312" w:line="360" w:lineRule="auto"/>
      <w:ind w:firstLine="200" w:firstLineChars="200"/>
    </w:pPr>
    <w:rPr>
      <w:szCs w:val="20"/>
    </w:rPr>
  </w:style>
  <w:style w:type="paragraph" w:customStyle="1" w:styleId="112">
    <w:name w:val="条-无序号"/>
    <w:basedOn w:val="1"/>
    <w:uiPriority w:val="0"/>
    <w:pPr>
      <w:ind w:firstLine="560" w:firstLineChars="200"/>
    </w:pPr>
    <w:rPr>
      <w:rFonts w:ascii="仿宋_GB2312" w:eastAsia="仿宋_GB2312" w:cs="仿宋_GB2312"/>
      <w:sz w:val="28"/>
      <w:szCs w:val="28"/>
    </w:rPr>
  </w:style>
  <w:style w:type="paragraph" w:customStyle="1" w:styleId="113">
    <w:name w:val="默认段落字体 Para Char Char Char Char Char Char Char Char Char Char Char Char"/>
    <w:basedOn w:val="1"/>
    <w:uiPriority w:val="0"/>
    <w:pPr>
      <w:tabs>
        <w:tab w:val="left" w:pos="840"/>
      </w:tabs>
      <w:ind w:left="840" w:hanging="360"/>
    </w:pPr>
    <w:rPr>
      <w:sz w:val="24"/>
    </w:rPr>
  </w:style>
  <w:style w:type="paragraph" w:customStyle="1" w:styleId="114">
    <w:name w:val="listparagraph1"/>
    <w:basedOn w:val="1"/>
    <w:uiPriority w:val="0"/>
    <w:pPr>
      <w:widowControl/>
      <w:ind w:firstLine="420"/>
    </w:pPr>
    <w:rPr>
      <w:rFonts w:ascii="Calibri" w:hAnsi="Calibri" w:cs="Calibri"/>
      <w:kern w:val="0"/>
      <w:szCs w:val="21"/>
    </w:rPr>
  </w:style>
  <w:style w:type="character" w:customStyle="1" w:styleId="115">
    <w:name w:val="标题 8 Char"/>
    <w:link w:val="6"/>
    <w:semiHidden/>
    <w:uiPriority w:val="9"/>
    <w:rPr>
      <w:rFonts w:ascii="Cambria" w:hAnsi="Cambria" w:eastAsia="宋体" w:cs="Times New Roman"/>
      <w:kern w:val="2"/>
      <w:sz w:val="24"/>
      <w:szCs w:val="24"/>
    </w:rPr>
  </w:style>
  <w:style w:type="paragraph" w:customStyle="1" w:styleId="116">
    <w:name w:val="Paragrafo elenco1"/>
    <w:basedOn w:val="1"/>
    <w:uiPriority w:val="0"/>
    <w:pPr>
      <w:widowControl/>
      <w:spacing w:after="200" w:line="276" w:lineRule="auto"/>
      <w:ind w:left="720"/>
      <w:jc w:val="left"/>
    </w:pPr>
    <w:rPr>
      <w:rFonts w:ascii="CG Times" w:hAnsi="CG Times"/>
      <w:kern w:val="0"/>
      <w:sz w:val="24"/>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28</Pages>
  <Words>2360</Words>
  <Characters>13452</Characters>
  <Lines>112</Lines>
  <Paragraphs>31</Paragraphs>
  <TotalTime>0</TotalTime>
  <ScaleCrop>false</ScaleCrop>
  <LinksUpToDate>false</LinksUpToDate>
  <CharactersWithSpaces>15781</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2017-06-28T09:51:00Z</dcterms:created>
  <dc:creator>关欣</dc:creator>
  <cp:lastModifiedBy>马酉泉</cp:lastModifiedBy>
  <cp:lastPrinted>2017-06-28T14:46:00Z</cp:lastPrinted>
  <dcterms:modified xsi:type="dcterms:W3CDTF">2022-12-05T14:33:33Z</dcterms:modified>
  <dc:title>证券经营机构投资者适当性管理实施指引</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E4952A9E0F21EC09BD908D63421084F2</vt:lpwstr>
  </property>
</Properties>
</file>